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4F" w:rsidRPr="00105A3D" w:rsidRDefault="00737F27" w:rsidP="00737F27">
      <w:pPr>
        <w:pStyle w:val="Abstract-Titel"/>
        <w:rPr>
          <w:lang w:val="en-GB"/>
        </w:rPr>
      </w:pPr>
      <w:bookmarkStart w:id="0" w:name="_GoBack"/>
      <w:r w:rsidRPr="00105A3D">
        <w:rPr>
          <w:lang w:val="en-GB"/>
        </w:rPr>
        <w:t>Project SYNERG-E: Local Stationary Buffer Storage for High Power Charging Stations</w:t>
      </w:r>
      <w:bookmarkEnd w:id="0"/>
    </w:p>
    <w:p w:rsidR="00737F27" w:rsidRPr="00105A3D" w:rsidRDefault="00737F27" w:rsidP="00A156E4">
      <w:pPr>
        <w:pStyle w:val="AutorenOrganisation"/>
        <w:rPr>
          <w:lang w:val="en-GB"/>
        </w:rPr>
      </w:pPr>
      <w:r w:rsidRPr="00105A3D">
        <w:rPr>
          <w:lang w:val="en-GB"/>
        </w:rPr>
        <w:t>(2) Strom, Wärmeerzeugung sowie Speicher</w:t>
      </w:r>
    </w:p>
    <w:p w:rsidR="005E4D4F" w:rsidRPr="00105A3D" w:rsidRDefault="00737F27" w:rsidP="00A156E4">
      <w:pPr>
        <w:pStyle w:val="AutorenOrganisation"/>
        <w:rPr>
          <w:lang w:val="en-GB"/>
        </w:rPr>
      </w:pPr>
      <w:r w:rsidRPr="00105A3D">
        <w:rPr>
          <w:lang w:val="en-GB"/>
        </w:rPr>
        <w:t>Karl Anton ZACH</w:t>
      </w:r>
      <w:r w:rsidR="005E4D4F" w:rsidRPr="00105A3D">
        <w:rPr>
          <w:vertAlign w:val="superscript"/>
          <w:lang w:val="en-GB"/>
        </w:rPr>
        <w:footnoteReference w:id="1"/>
      </w:r>
      <w:r w:rsidR="005E4D4F" w:rsidRPr="00105A3D">
        <w:rPr>
          <w:lang w:val="en-GB"/>
        </w:rPr>
        <w:t xml:space="preserve">, </w:t>
      </w:r>
      <w:r w:rsidR="00740A3C" w:rsidRPr="00105A3D">
        <w:rPr>
          <w:lang w:val="en-GB"/>
        </w:rPr>
        <w:t>Christian HARTL, Peter POIER</w:t>
      </w:r>
      <w:r w:rsidR="00A156E4" w:rsidRPr="00105A3D">
        <w:rPr>
          <w:vertAlign w:val="superscript"/>
          <w:lang w:val="en-GB"/>
        </w:rPr>
        <w:t>(</w:t>
      </w:r>
      <w:r w:rsidRPr="00105A3D">
        <w:rPr>
          <w:vertAlign w:val="superscript"/>
          <w:lang w:val="en-GB"/>
        </w:rPr>
        <w:t>1</w:t>
      </w:r>
      <w:r w:rsidR="00A156E4" w:rsidRPr="00105A3D">
        <w:rPr>
          <w:vertAlign w:val="superscript"/>
          <w:lang w:val="en-GB"/>
        </w:rPr>
        <w:t>)</w:t>
      </w:r>
      <w:r w:rsidRPr="00105A3D">
        <w:rPr>
          <w:lang w:val="en-GB"/>
        </w:rPr>
        <w:t>, Mareike ARNDT, Wouter DEN HOLLANDER, Remco KÖHNE, Tobias WRONSKI</w:t>
      </w:r>
      <w:r w:rsidRPr="00105A3D">
        <w:rPr>
          <w:vertAlign w:val="superscript"/>
          <w:lang w:val="en-GB"/>
        </w:rPr>
        <w:t>(2)</w:t>
      </w:r>
    </w:p>
    <w:p w:rsidR="005E4D4F" w:rsidRPr="00105A3D" w:rsidRDefault="00A156E4" w:rsidP="005E4D4F">
      <w:pPr>
        <w:pStyle w:val="AutorenOrganisation"/>
        <w:rPr>
          <w:lang w:val="en-GB"/>
        </w:rPr>
      </w:pPr>
      <w:r w:rsidRPr="00105A3D">
        <w:rPr>
          <w:vertAlign w:val="superscript"/>
          <w:lang w:val="en-GB"/>
        </w:rPr>
        <w:t>(</w:t>
      </w:r>
      <w:r w:rsidR="00010E92" w:rsidRPr="00105A3D">
        <w:rPr>
          <w:vertAlign w:val="superscript"/>
          <w:lang w:val="en-GB"/>
        </w:rPr>
        <w:t>1</w:t>
      </w:r>
      <w:r w:rsidRPr="00105A3D">
        <w:rPr>
          <w:vertAlign w:val="superscript"/>
          <w:lang w:val="en-GB"/>
        </w:rPr>
        <w:t>)</w:t>
      </w:r>
      <w:r w:rsidR="00737F27" w:rsidRPr="00105A3D">
        <w:rPr>
          <w:lang w:val="en-GB"/>
        </w:rPr>
        <w:t>VERBUND Solutions GmbH</w:t>
      </w:r>
      <w:r w:rsidR="00010E92" w:rsidRPr="00105A3D">
        <w:rPr>
          <w:lang w:val="en-GB"/>
        </w:rPr>
        <w:t xml:space="preserve">, </w:t>
      </w:r>
      <w:r w:rsidRPr="00105A3D">
        <w:rPr>
          <w:vertAlign w:val="superscript"/>
          <w:lang w:val="en-GB"/>
        </w:rPr>
        <w:t>(</w:t>
      </w:r>
      <w:r w:rsidR="00010E92" w:rsidRPr="00105A3D">
        <w:rPr>
          <w:vertAlign w:val="superscript"/>
          <w:lang w:val="en-GB"/>
        </w:rPr>
        <w:t>2</w:t>
      </w:r>
      <w:r w:rsidRPr="00105A3D">
        <w:rPr>
          <w:vertAlign w:val="superscript"/>
          <w:lang w:val="en-GB"/>
        </w:rPr>
        <w:t>)</w:t>
      </w:r>
      <w:r w:rsidR="00737F27" w:rsidRPr="00105A3D">
        <w:rPr>
          <w:lang w:val="en-GB"/>
        </w:rPr>
        <w:t>Allego GmbH</w:t>
      </w:r>
    </w:p>
    <w:p w:rsidR="00A07737" w:rsidRPr="00105A3D" w:rsidRDefault="00A07737" w:rsidP="00FB69AE">
      <w:pPr>
        <w:rPr>
          <w:lang w:val="en-GB"/>
        </w:rPr>
      </w:pPr>
    </w:p>
    <w:p w:rsidR="005E4D4F" w:rsidRPr="00105A3D" w:rsidRDefault="008C45B3" w:rsidP="005E4D4F">
      <w:pPr>
        <w:pStyle w:val="Ueberschrift"/>
        <w:rPr>
          <w:lang w:val="en-GB"/>
        </w:rPr>
      </w:pPr>
      <w:r w:rsidRPr="00105A3D">
        <w:rPr>
          <w:lang w:val="en-GB"/>
        </w:rPr>
        <w:t>Motivation</w:t>
      </w:r>
    </w:p>
    <w:p w:rsidR="008C45B3" w:rsidRPr="00105A3D" w:rsidRDefault="002B06CF" w:rsidP="008C45B3">
      <w:pPr>
        <w:rPr>
          <w:lang w:val="en-GB"/>
        </w:rPr>
      </w:pPr>
      <w:r>
        <w:rPr>
          <w:lang w:val="en-GB"/>
        </w:rPr>
        <w:t>With increasing demand for high-</w:t>
      </w:r>
      <w:r w:rsidR="008C45B3" w:rsidRPr="00105A3D">
        <w:rPr>
          <w:lang w:val="en-GB"/>
        </w:rPr>
        <w:t xml:space="preserve">power charging (HPC) for electric vehicles (EV), the necessity for grid connections up to 1 MW per charging site become a reality, already in 2018. This leads to an increasing problem regarding grid connection </w:t>
      </w:r>
      <w:r>
        <w:rPr>
          <w:lang w:val="en-GB"/>
        </w:rPr>
        <w:t xml:space="preserve">needs and costs </w:t>
      </w:r>
      <w:r w:rsidR="008C45B3" w:rsidRPr="00105A3D">
        <w:rPr>
          <w:lang w:val="en-GB"/>
        </w:rPr>
        <w:t xml:space="preserve">at locations most suitable for EV </w:t>
      </w:r>
      <w:r w:rsidR="0021551C" w:rsidRPr="00105A3D">
        <w:rPr>
          <w:lang w:val="en-GB"/>
        </w:rPr>
        <w:t>charging, like highway and petrol stations</w:t>
      </w:r>
      <w:r w:rsidR="008C45B3" w:rsidRPr="00105A3D">
        <w:rPr>
          <w:lang w:val="en-GB"/>
        </w:rPr>
        <w:t xml:space="preserve">. Additionally the electricity generation becomes more volatile which increases the requirements for balancing the electricity grid. </w:t>
      </w:r>
      <w:r w:rsidR="0056007D">
        <w:rPr>
          <w:lang w:val="en-GB"/>
        </w:rPr>
        <w:t>By deploying local stationary buffer storage systems for HPC stations t</w:t>
      </w:r>
      <w:r w:rsidR="008C45B3" w:rsidRPr="00105A3D">
        <w:rPr>
          <w:lang w:val="en-GB"/>
        </w:rPr>
        <w:t xml:space="preserve">he SYNERG-E project </w:t>
      </w:r>
      <w:r w:rsidR="009D388A">
        <w:rPr>
          <w:lang w:val="en-GB"/>
        </w:rPr>
        <w:t xml:space="preserve">[1] </w:t>
      </w:r>
      <w:r w:rsidR="008C45B3" w:rsidRPr="00105A3D">
        <w:rPr>
          <w:lang w:val="en-GB"/>
        </w:rPr>
        <w:t>addresses both challenges</w:t>
      </w:r>
      <w:r w:rsidR="0056007D">
        <w:rPr>
          <w:lang w:val="en-GB"/>
        </w:rPr>
        <w:t xml:space="preserve"> and </w:t>
      </w:r>
      <w:r w:rsidR="0056007D" w:rsidRPr="0056007D">
        <w:rPr>
          <w:lang w:val="en-GB"/>
        </w:rPr>
        <w:t>create</w:t>
      </w:r>
      <w:r w:rsidR="0056007D">
        <w:rPr>
          <w:lang w:val="en-GB"/>
        </w:rPr>
        <w:t>s</w:t>
      </w:r>
      <w:r w:rsidR="0056007D" w:rsidRPr="0056007D">
        <w:rPr>
          <w:lang w:val="en-GB"/>
        </w:rPr>
        <w:t xml:space="preserve"> synergies between the energy and transport </w:t>
      </w:r>
      <w:r w:rsidR="0056007D">
        <w:rPr>
          <w:lang w:val="en-GB"/>
        </w:rPr>
        <w:t>sectors</w:t>
      </w:r>
      <w:r w:rsidR="008C45B3" w:rsidRPr="00105A3D">
        <w:rPr>
          <w:lang w:val="en-GB"/>
        </w:rPr>
        <w:t xml:space="preserve">. </w:t>
      </w:r>
    </w:p>
    <w:p w:rsidR="008C45B3" w:rsidRPr="00105A3D" w:rsidRDefault="008C45B3" w:rsidP="00227125">
      <w:pPr>
        <w:rPr>
          <w:lang w:val="en-GB"/>
        </w:rPr>
      </w:pPr>
    </w:p>
    <w:p w:rsidR="005E4D4F" w:rsidRPr="00105A3D" w:rsidRDefault="005E4D4F" w:rsidP="005E4D4F">
      <w:pPr>
        <w:pStyle w:val="Ueberschrift"/>
        <w:rPr>
          <w:lang w:val="en-GB"/>
        </w:rPr>
      </w:pPr>
      <w:r w:rsidRPr="00105A3D">
        <w:rPr>
          <w:lang w:val="en-GB"/>
        </w:rPr>
        <w:t>Method</w:t>
      </w:r>
    </w:p>
    <w:p w:rsidR="0021551C" w:rsidRDefault="0056007D" w:rsidP="00227125">
      <w:pPr>
        <w:rPr>
          <w:lang w:val="en-GB"/>
        </w:rPr>
      </w:pPr>
      <w:r>
        <w:rPr>
          <w:lang w:val="en-GB"/>
        </w:rPr>
        <w:t>In total,</w:t>
      </w:r>
      <w:r w:rsidRPr="0056007D">
        <w:rPr>
          <w:lang w:val="en-GB"/>
        </w:rPr>
        <w:t xml:space="preserve"> ten stationary battery </w:t>
      </w:r>
      <w:r w:rsidR="007A63EF">
        <w:rPr>
          <w:lang w:val="en-GB"/>
        </w:rPr>
        <w:t xml:space="preserve">energy </w:t>
      </w:r>
      <w:r w:rsidRPr="0056007D">
        <w:rPr>
          <w:lang w:val="en-GB"/>
        </w:rPr>
        <w:t>storage systems (</w:t>
      </w:r>
      <w:r w:rsidR="007A63EF">
        <w:rPr>
          <w:lang w:val="en-GB"/>
        </w:rPr>
        <w:t xml:space="preserve">BESS, </w:t>
      </w:r>
      <w:r w:rsidR="003278AB">
        <w:rPr>
          <w:lang w:val="en-GB"/>
        </w:rPr>
        <w:t>~</w:t>
      </w:r>
      <w:r w:rsidRPr="0056007D">
        <w:rPr>
          <w:lang w:val="en-GB"/>
        </w:rPr>
        <w:t xml:space="preserve">0.5 MW each) are deployed in Austria and Germany in a real-life-trial to test installation and management of these </w:t>
      </w:r>
      <w:r w:rsidR="007B68C7">
        <w:rPr>
          <w:lang w:val="en-GB"/>
        </w:rPr>
        <w:t>BESS for a future roll-</w:t>
      </w:r>
      <w:r w:rsidRPr="0056007D">
        <w:rPr>
          <w:lang w:val="en-GB"/>
        </w:rPr>
        <w:t xml:space="preserve">out at </w:t>
      </w:r>
      <w:r w:rsidR="003278AB">
        <w:rPr>
          <w:lang w:val="en-GB"/>
        </w:rPr>
        <w:t>HPC</w:t>
      </w:r>
      <w:r w:rsidRPr="0056007D">
        <w:rPr>
          <w:lang w:val="en-GB"/>
        </w:rPr>
        <w:t xml:space="preserve"> stations. The </w:t>
      </w:r>
      <w:r w:rsidR="003278AB">
        <w:rPr>
          <w:lang w:val="en-GB"/>
        </w:rPr>
        <w:t>BESS</w:t>
      </w:r>
      <w:r w:rsidRPr="0056007D">
        <w:rPr>
          <w:lang w:val="en-GB"/>
        </w:rPr>
        <w:t xml:space="preserve"> will serve the HPC stations with a reliable and cost-effective grid connection on the one hand, as well as provide grid services for TSOs. </w:t>
      </w:r>
    </w:p>
    <w:p w:rsidR="00DD242C" w:rsidRPr="00DD242C" w:rsidRDefault="0056007D" w:rsidP="00DD242C">
      <w:pPr>
        <w:rPr>
          <w:lang w:val="en-GB"/>
        </w:rPr>
      </w:pPr>
      <w:r>
        <w:rPr>
          <w:lang w:val="en-GB"/>
        </w:rPr>
        <w:t xml:space="preserve">In order to </w:t>
      </w:r>
      <w:r w:rsidR="00DD242C">
        <w:rPr>
          <w:lang w:val="en-GB"/>
        </w:rPr>
        <w:t xml:space="preserve">evaluate the future needs </w:t>
      </w:r>
      <w:r w:rsidR="00431B83">
        <w:rPr>
          <w:lang w:val="en-GB"/>
        </w:rPr>
        <w:t>at HPC stations</w:t>
      </w:r>
      <w:r w:rsidR="00DD242C">
        <w:rPr>
          <w:lang w:val="en-GB"/>
        </w:rPr>
        <w:t xml:space="preserve"> in terms of energy </w:t>
      </w:r>
      <w:r w:rsidR="003278AB">
        <w:rPr>
          <w:lang w:val="en-GB"/>
        </w:rPr>
        <w:t>demand</w:t>
      </w:r>
      <w:r w:rsidR="00DD242C">
        <w:rPr>
          <w:lang w:val="en-GB"/>
        </w:rPr>
        <w:t xml:space="preserve"> and the possibilities of </w:t>
      </w:r>
      <w:r w:rsidR="007A63EF">
        <w:rPr>
          <w:lang w:val="en-GB"/>
        </w:rPr>
        <w:t>BESS</w:t>
      </w:r>
      <w:r w:rsidR="00DD242C">
        <w:rPr>
          <w:lang w:val="en-GB"/>
        </w:rPr>
        <w:t xml:space="preserve"> to fulfil these needs</w:t>
      </w:r>
      <w:r w:rsidR="007A63EF">
        <w:rPr>
          <w:lang w:val="en-GB"/>
        </w:rPr>
        <w:t>,</w:t>
      </w:r>
      <w:r w:rsidR="00DD242C">
        <w:rPr>
          <w:lang w:val="en-GB"/>
        </w:rPr>
        <w:t xml:space="preserve"> a</w:t>
      </w:r>
      <w:r w:rsidR="00DD242C" w:rsidRPr="00DD242C">
        <w:rPr>
          <w:lang w:val="en-GB"/>
        </w:rPr>
        <w:t xml:space="preserve"> simulati</w:t>
      </w:r>
      <w:r w:rsidR="00DD242C">
        <w:rPr>
          <w:lang w:val="en-GB"/>
        </w:rPr>
        <w:t>on environment wa</w:t>
      </w:r>
      <w:r w:rsidR="00DD242C" w:rsidRPr="00DD242C">
        <w:rPr>
          <w:lang w:val="en-GB"/>
        </w:rPr>
        <w:t>s created</w:t>
      </w:r>
      <w:r w:rsidR="00DD242C">
        <w:rPr>
          <w:lang w:val="en-GB"/>
        </w:rPr>
        <w:t>.</w:t>
      </w:r>
      <w:r w:rsidR="00DD242C" w:rsidRPr="00DD242C">
        <w:rPr>
          <w:lang w:val="en-GB"/>
        </w:rPr>
        <w:t xml:space="preserve"> The simulation is divided into three sub-models, which build on one another:</w:t>
      </w:r>
    </w:p>
    <w:p w:rsidR="00DD242C" w:rsidRPr="00DD242C" w:rsidRDefault="00DD242C" w:rsidP="00DD242C">
      <w:pPr>
        <w:numPr>
          <w:ilvl w:val="0"/>
          <w:numId w:val="6"/>
        </w:numPr>
        <w:rPr>
          <w:lang w:val="en-GB"/>
        </w:rPr>
      </w:pPr>
      <w:r w:rsidRPr="00DD242C">
        <w:rPr>
          <w:lang w:val="en-GB"/>
        </w:rPr>
        <w:t>Uptake forecast mode</w:t>
      </w:r>
      <w:r>
        <w:rPr>
          <w:lang w:val="en-GB"/>
        </w:rPr>
        <w:t xml:space="preserve">l for </w:t>
      </w:r>
      <w:r w:rsidR="00E060D8">
        <w:rPr>
          <w:lang w:val="en-GB"/>
        </w:rPr>
        <w:t>EVs</w:t>
      </w:r>
      <w:r>
        <w:rPr>
          <w:lang w:val="en-GB"/>
        </w:rPr>
        <w:t xml:space="preserve"> (M</w:t>
      </w:r>
      <w:r w:rsidRPr="00DD242C">
        <w:rPr>
          <w:lang w:val="en-GB"/>
        </w:rPr>
        <w:t>odel A)</w:t>
      </w:r>
    </w:p>
    <w:p w:rsidR="00DD242C" w:rsidRPr="00DD242C" w:rsidRDefault="00DD242C" w:rsidP="00DD242C">
      <w:pPr>
        <w:numPr>
          <w:ilvl w:val="0"/>
          <w:numId w:val="6"/>
        </w:numPr>
        <w:rPr>
          <w:lang w:val="en-GB"/>
        </w:rPr>
      </w:pPr>
      <w:r>
        <w:rPr>
          <w:lang w:val="en-GB"/>
        </w:rPr>
        <w:t>Charging simulation model (M</w:t>
      </w:r>
      <w:r w:rsidRPr="00DD242C">
        <w:rPr>
          <w:lang w:val="en-GB"/>
        </w:rPr>
        <w:t>odel B)</w:t>
      </w:r>
    </w:p>
    <w:p w:rsidR="0056007D" w:rsidRPr="00105A3D" w:rsidRDefault="00DD242C" w:rsidP="00DD242C">
      <w:pPr>
        <w:numPr>
          <w:ilvl w:val="0"/>
          <w:numId w:val="6"/>
        </w:numPr>
        <w:rPr>
          <w:lang w:val="en-GB"/>
        </w:rPr>
      </w:pPr>
      <w:r>
        <w:rPr>
          <w:lang w:val="en-GB"/>
        </w:rPr>
        <w:t>Battery simulation model (M</w:t>
      </w:r>
      <w:r w:rsidRPr="00DD242C">
        <w:rPr>
          <w:lang w:val="en-GB"/>
        </w:rPr>
        <w:t>odel C)</w:t>
      </w:r>
    </w:p>
    <w:p w:rsidR="00DD242C" w:rsidRPr="00DD242C" w:rsidRDefault="00E060D8" w:rsidP="00DD242C">
      <w:pPr>
        <w:rPr>
          <w:lang w:val="en-GB"/>
        </w:rPr>
      </w:pPr>
      <w:r>
        <w:rPr>
          <w:lang w:val="en-GB"/>
        </w:rPr>
        <w:t>Model A takes into consideration different scenarios of the EV market development, charging behaviour, etc. in order to</w:t>
      </w:r>
      <w:r w:rsidR="00DD242C">
        <w:rPr>
          <w:lang w:val="en-GB"/>
        </w:rPr>
        <w:t xml:space="preserve"> </w:t>
      </w:r>
      <w:r>
        <w:rPr>
          <w:lang w:val="en-GB"/>
        </w:rPr>
        <w:t xml:space="preserve">forecast </w:t>
      </w:r>
      <w:r w:rsidR="00DD242C" w:rsidRPr="00DD242C">
        <w:rPr>
          <w:lang w:val="en-GB"/>
        </w:rPr>
        <w:t>the number of c</w:t>
      </w:r>
      <w:r w:rsidR="008C5E89">
        <w:rPr>
          <w:lang w:val="en-GB"/>
        </w:rPr>
        <w:t>harging sessions and their size at HPC stations</w:t>
      </w:r>
      <w:r w:rsidR="00DD242C" w:rsidRPr="00DD242C">
        <w:rPr>
          <w:lang w:val="en-GB"/>
        </w:rPr>
        <w:t>.</w:t>
      </w:r>
      <w:r w:rsidR="00DD242C">
        <w:rPr>
          <w:lang w:val="en-GB"/>
        </w:rPr>
        <w:t xml:space="preserve"> </w:t>
      </w:r>
      <w:r>
        <w:rPr>
          <w:lang w:val="en-GB"/>
        </w:rPr>
        <w:t xml:space="preserve">Model B determines </w:t>
      </w:r>
      <w:r w:rsidRPr="00E060D8">
        <w:rPr>
          <w:lang w:val="en-GB"/>
        </w:rPr>
        <w:t xml:space="preserve">the expected traffic and resulting energy demand at SYNERG-E locations at a resolution of one minute, using the uptake forecast </w:t>
      </w:r>
      <w:r>
        <w:rPr>
          <w:lang w:val="en-GB"/>
        </w:rPr>
        <w:t xml:space="preserve">of Model A </w:t>
      </w:r>
      <w:r w:rsidRPr="00E060D8">
        <w:rPr>
          <w:lang w:val="en-GB"/>
        </w:rPr>
        <w:t>as input</w:t>
      </w:r>
      <w:r>
        <w:rPr>
          <w:lang w:val="en-GB"/>
        </w:rPr>
        <w:t>.</w:t>
      </w:r>
      <w:r w:rsidR="007A63EF">
        <w:rPr>
          <w:lang w:val="en-GB"/>
        </w:rPr>
        <w:t xml:space="preserve"> Finally, Model C </w:t>
      </w:r>
      <w:r w:rsidR="007A63EF" w:rsidRPr="007A63EF">
        <w:rPr>
          <w:lang w:val="en-GB"/>
        </w:rPr>
        <w:t xml:space="preserve">receives </w:t>
      </w:r>
      <w:r w:rsidR="007A63EF">
        <w:rPr>
          <w:lang w:val="en-GB"/>
        </w:rPr>
        <w:t>the energy</w:t>
      </w:r>
      <w:r w:rsidR="007A63EF" w:rsidRPr="007A63EF">
        <w:rPr>
          <w:lang w:val="en-GB"/>
        </w:rPr>
        <w:t xml:space="preserve"> </w:t>
      </w:r>
      <w:r w:rsidR="007A63EF">
        <w:rPr>
          <w:lang w:val="en-GB"/>
        </w:rPr>
        <w:t xml:space="preserve">demand </w:t>
      </w:r>
      <w:r w:rsidR="007A63EF" w:rsidRPr="007A63EF">
        <w:rPr>
          <w:lang w:val="en-GB"/>
        </w:rPr>
        <w:t xml:space="preserve">curve </w:t>
      </w:r>
      <w:r w:rsidR="007A63EF">
        <w:rPr>
          <w:lang w:val="en-GB"/>
        </w:rPr>
        <w:t xml:space="preserve">of Model B </w:t>
      </w:r>
      <w:r w:rsidR="007A63EF" w:rsidRPr="007A63EF">
        <w:rPr>
          <w:lang w:val="en-GB"/>
        </w:rPr>
        <w:t xml:space="preserve">and </w:t>
      </w:r>
      <w:r w:rsidR="007A63EF">
        <w:rPr>
          <w:lang w:val="en-GB"/>
        </w:rPr>
        <w:t>tries to minimize the</w:t>
      </w:r>
      <w:r w:rsidR="00A00820">
        <w:rPr>
          <w:lang w:val="en-GB"/>
        </w:rPr>
        <w:t xml:space="preserve"> peak-demand</w:t>
      </w:r>
      <w:r w:rsidR="007A63EF">
        <w:rPr>
          <w:lang w:val="en-GB"/>
        </w:rPr>
        <w:t xml:space="preserve"> by controlling</w:t>
      </w:r>
      <w:r w:rsidR="007A63EF" w:rsidRPr="007A63EF">
        <w:rPr>
          <w:lang w:val="en-GB"/>
        </w:rPr>
        <w:t xml:space="preserve"> an emulated </w:t>
      </w:r>
      <w:r w:rsidR="007A63EF">
        <w:rPr>
          <w:lang w:val="en-GB"/>
        </w:rPr>
        <w:t>BESS.</w:t>
      </w:r>
    </w:p>
    <w:p w:rsidR="005E4D4F" w:rsidRPr="00105A3D" w:rsidRDefault="005E4D4F" w:rsidP="00227125">
      <w:pPr>
        <w:rPr>
          <w:lang w:val="en-GB"/>
        </w:rPr>
      </w:pPr>
    </w:p>
    <w:p w:rsidR="005E4D4F" w:rsidRPr="00105A3D" w:rsidRDefault="00105A3D" w:rsidP="005E4D4F">
      <w:pPr>
        <w:pStyle w:val="Ueberschrift"/>
        <w:rPr>
          <w:lang w:val="en-GB"/>
        </w:rPr>
      </w:pPr>
      <w:r>
        <w:rPr>
          <w:lang w:val="en-GB"/>
        </w:rPr>
        <w:t>Results a</w:t>
      </w:r>
      <w:r w:rsidR="005E4D4F" w:rsidRPr="00105A3D">
        <w:rPr>
          <w:lang w:val="en-GB"/>
        </w:rPr>
        <w:t xml:space="preserve">nd </w:t>
      </w:r>
      <w:r>
        <w:rPr>
          <w:lang w:val="en-GB"/>
        </w:rPr>
        <w:t>Conclusions</w:t>
      </w:r>
    </w:p>
    <w:p w:rsidR="005E4D4F" w:rsidRDefault="00010D71" w:rsidP="00010D71">
      <w:pPr>
        <w:rPr>
          <w:lang w:val="en-GB"/>
        </w:rPr>
      </w:pPr>
      <w:r w:rsidRPr="00010D71">
        <w:rPr>
          <w:lang w:val="en-GB"/>
        </w:rPr>
        <w:t xml:space="preserve">Using the total number of </w:t>
      </w:r>
      <w:r w:rsidR="004B50B6">
        <w:rPr>
          <w:lang w:val="en-GB"/>
        </w:rPr>
        <w:t>EV</w:t>
      </w:r>
      <w:r w:rsidRPr="00010D71">
        <w:rPr>
          <w:lang w:val="en-GB"/>
        </w:rPr>
        <w:t>s – the EV stock – and its behaviour, an estimation of the demand for different charging needs (slow home, slow non-home, public fast and public ultra-fast) has been made</w:t>
      </w:r>
      <w:r w:rsidR="004B50B6">
        <w:rPr>
          <w:lang w:val="en-GB"/>
        </w:rPr>
        <w:t xml:space="preserve"> in Model A</w:t>
      </w:r>
      <w:r w:rsidRPr="00010D71">
        <w:rPr>
          <w:lang w:val="en-GB"/>
        </w:rPr>
        <w:t xml:space="preserve">. This demand is expressed as a number of discrete sessions by estimating the average session size. These sessions are divided over the total number of charge points </w:t>
      </w:r>
      <w:r w:rsidR="004B50B6">
        <w:rPr>
          <w:lang w:val="en-GB"/>
        </w:rPr>
        <w:t xml:space="preserve">(CP) </w:t>
      </w:r>
      <w:r w:rsidRPr="00010D71">
        <w:rPr>
          <w:lang w:val="en-GB"/>
        </w:rPr>
        <w:t>to arrive at a number of sessions per CP (</w:t>
      </w:r>
      <w:r>
        <w:rPr>
          <w:lang w:val="en-GB"/>
        </w:rPr>
        <w:t xml:space="preserve">see </w:t>
      </w:r>
      <w:r w:rsidR="004B50B6">
        <w:rPr>
          <w:lang w:val="en-GB"/>
        </w:rPr>
        <w:fldChar w:fldCharType="begin"/>
      </w:r>
      <w:r w:rsidR="004B50B6">
        <w:rPr>
          <w:lang w:val="en-GB"/>
        </w:rPr>
        <w:instrText xml:space="preserve"> REF _Ref528241828 \h </w:instrText>
      </w:r>
      <w:r w:rsidR="004B50B6">
        <w:rPr>
          <w:lang w:val="en-GB"/>
        </w:rPr>
      </w:r>
      <w:r w:rsidR="004B50B6">
        <w:rPr>
          <w:lang w:val="en-GB"/>
        </w:rPr>
        <w:instrText xml:space="preserve"> \* MERGEFORMAT </w:instrText>
      </w:r>
      <w:r w:rsidR="004B50B6">
        <w:rPr>
          <w:lang w:val="en-GB"/>
        </w:rPr>
        <w:fldChar w:fldCharType="separate"/>
      </w:r>
      <w:r w:rsidR="004B50B6" w:rsidRPr="004B50B6">
        <w:rPr>
          <w:lang w:val="en-GB"/>
        </w:rPr>
        <w:t>Figure 1</w:t>
      </w:r>
      <w:r w:rsidR="004B50B6">
        <w:rPr>
          <w:lang w:val="en-GB"/>
        </w:rPr>
        <w:fldChar w:fldCharType="end"/>
      </w:r>
      <w:r w:rsidR="004B50B6">
        <w:rPr>
          <w:lang w:val="en-GB"/>
        </w:rPr>
        <w:t xml:space="preserve"> below</w:t>
      </w:r>
      <w:r w:rsidRPr="00010D71">
        <w:rPr>
          <w:lang w:val="en-GB"/>
        </w:rPr>
        <w:t xml:space="preserve">). </w:t>
      </w:r>
    </w:p>
    <w:p w:rsidR="005E4D4F" w:rsidRPr="00105A3D" w:rsidRDefault="005E4D4F" w:rsidP="00227125">
      <w:pPr>
        <w:rPr>
          <w:lang w:val="en-GB"/>
        </w:rPr>
      </w:pPr>
    </w:p>
    <w:p w:rsidR="004B50B6" w:rsidRDefault="00AF3ED0" w:rsidP="004B50B6">
      <w:pPr>
        <w:keepNext/>
      </w:pPr>
      <w:r>
        <w:rPr>
          <w:noProof/>
          <w:lang w:val="de-AT" w:eastAsia="de-AT"/>
        </w:rPr>
        <w:drawing>
          <wp:inline distT="0" distB="0" distL="0" distR="0">
            <wp:extent cx="3644900" cy="1631950"/>
            <wp:effectExtent l="0" t="0" r="0" b="0"/>
            <wp:docPr id="3" name="Chart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4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17" w:rsidRPr="004B50B6" w:rsidRDefault="004B50B6" w:rsidP="004B50B6">
      <w:pPr>
        <w:pStyle w:val="Beschriftung"/>
        <w:rPr>
          <w:b w:val="0"/>
          <w:bCs w:val="0"/>
          <w:i/>
          <w:iCs/>
          <w:szCs w:val="24"/>
          <w:lang w:val="en-GB"/>
        </w:rPr>
      </w:pPr>
      <w:bookmarkStart w:id="1" w:name="_Ref528241828"/>
      <w:r w:rsidRPr="004B50B6">
        <w:rPr>
          <w:b w:val="0"/>
          <w:bCs w:val="0"/>
          <w:i/>
          <w:iCs/>
          <w:szCs w:val="24"/>
          <w:lang w:val="en-GB"/>
        </w:rPr>
        <w:t xml:space="preserve">Figure </w:t>
      </w:r>
      <w:r w:rsidRPr="004B50B6">
        <w:rPr>
          <w:b w:val="0"/>
          <w:bCs w:val="0"/>
          <w:i/>
          <w:iCs/>
          <w:szCs w:val="24"/>
          <w:lang w:val="de-AT"/>
        </w:rPr>
        <w:fldChar w:fldCharType="begin"/>
      </w:r>
      <w:r w:rsidRPr="004B50B6">
        <w:rPr>
          <w:b w:val="0"/>
          <w:bCs w:val="0"/>
          <w:i/>
          <w:iCs/>
          <w:szCs w:val="24"/>
          <w:lang w:val="en-GB"/>
        </w:rPr>
        <w:instrText xml:space="preserve"> SEQ Figure \* ARABIC </w:instrText>
      </w:r>
      <w:r w:rsidRPr="004B50B6">
        <w:rPr>
          <w:b w:val="0"/>
          <w:bCs w:val="0"/>
          <w:i/>
          <w:iCs/>
          <w:szCs w:val="24"/>
          <w:lang w:val="de-AT"/>
        </w:rPr>
        <w:fldChar w:fldCharType="separate"/>
      </w:r>
      <w:r w:rsidRPr="004B50B6">
        <w:rPr>
          <w:b w:val="0"/>
          <w:bCs w:val="0"/>
          <w:i/>
          <w:iCs/>
          <w:szCs w:val="24"/>
          <w:lang w:val="en-GB"/>
        </w:rPr>
        <w:t>1</w:t>
      </w:r>
      <w:r w:rsidRPr="004B50B6">
        <w:rPr>
          <w:b w:val="0"/>
          <w:bCs w:val="0"/>
          <w:i/>
          <w:iCs/>
          <w:szCs w:val="24"/>
          <w:lang w:val="de-AT"/>
        </w:rPr>
        <w:fldChar w:fldCharType="end"/>
      </w:r>
      <w:bookmarkEnd w:id="1"/>
      <w:r w:rsidR="00803917" w:rsidRPr="004B50B6">
        <w:rPr>
          <w:b w:val="0"/>
          <w:bCs w:val="0"/>
          <w:i/>
          <w:iCs/>
          <w:szCs w:val="24"/>
          <w:lang w:val="en-GB"/>
        </w:rPr>
        <w:t xml:space="preserve">: </w:t>
      </w:r>
      <w:r w:rsidRPr="004B50B6">
        <w:rPr>
          <w:b w:val="0"/>
          <w:bCs w:val="0"/>
          <w:i/>
          <w:iCs/>
          <w:szCs w:val="24"/>
          <w:lang w:val="en-GB"/>
        </w:rPr>
        <w:t xml:space="preserve">Daily </w:t>
      </w:r>
      <w:r>
        <w:rPr>
          <w:b w:val="0"/>
          <w:bCs w:val="0"/>
          <w:i/>
          <w:iCs/>
          <w:szCs w:val="24"/>
          <w:lang w:val="en-GB"/>
        </w:rPr>
        <w:t xml:space="preserve">charging </w:t>
      </w:r>
      <w:r w:rsidRPr="004B50B6">
        <w:rPr>
          <w:b w:val="0"/>
          <w:bCs w:val="0"/>
          <w:i/>
          <w:iCs/>
          <w:szCs w:val="24"/>
          <w:lang w:val="en-GB"/>
        </w:rPr>
        <w:t>sessions per CP in Germany</w:t>
      </w:r>
      <w:r w:rsidR="00A00820">
        <w:rPr>
          <w:b w:val="0"/>
          <w:bCs w:val="0"/>
          <w:i/>
          <w:iCs/>
          <w:szCs w:val="24"/>
          <w:lang w:val="en-GB"/>
        </w:rPr>
        <w:t xml:space="preserve"> up to 2030</w:t>
      </w:r>
    </w:p>
    <w:p w:rsidR="00874E3E" w:rsidRDefault="00874E3E" w:rsidP="00C90AFC">
      <w:pPr>
        <w:rPr>
          <w:lang w:val="en-GB"/>
        </w:rPr>
      </w:pPr>
      <w:r w:rsidRPr="00874E3E">
        <w:rPr>
          <w:lang w:val="en-GB"/>
        </w:rPr>
        <w:t xml:space="preserve">The forecasted uptake is the main input to </w:t>
      </w:r>
      <w:r>
        <w:rPr>
          <w:lang w:val="en-GB"/>
        </w:rPr>
        <w:t>Model B</w:t>
      </w:r>
      <w:r w:rsidRPr="00874E3E">
        <w:rPr>
          <w:lang w:val="en-GB"/>
        </w:rPr>
        <w:t>, but a few additional variables</w:t>
      </w:r>
      <w:r>
        <w:rPr>
          <w:lang w:val="en-GB"/>
        </w:rPr>
        <w:t xml:space="preserve"> are required:</w:t>
      </w:r>
    </w:p>
    <w:p w:rsidR="00874E3E" w:rsidRDefault="00874E3E" w:rsidP="00874E3E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lastRenderedPageBreak/>
        <w:t>L</w:t>
      </w:r>
      <w:r w:rsidRPr="00874E3E">
        <w:rPr>
          <w:lang w:val="en-GB"/>
        </w:rPr>
        <w:t xml:space="preserve">ocation lay-out </w:t>
      </w:r>
      <w:r>
        <w:rPr>
          <w:lang w:val="en-GB"/>
        </w:rPr>
        <w:t>(limiting</w:t>
      </w:r>
      <w:r w:rsidRPr="00874E3E">
        <w:rPr>
          <w:lang w:val="en-GB"/>
        </w:rPr>
        <w:t xml:space="preserve"> the number of </w:t>
      </w:r>
      <w:r>
        <w:rPr>
          <w:lang w:val="en-GB"/>
        </w:rPr>
        <w:t xml:space="preserve">simultaneous </w:t>
      </w:r>
      <w:r w:rsidRPr="00874E3E">
        <w:rPr>
          <w:lang w:val="en-GB"/>
        </w:rPr>
        <w:t>sessions</w:t>
      </w:r>
      <w:r>
        <w:rPr>
          <w:lang w:val="en-GB"/>
        </w:rPr>
        <w:t>)</w:t>
      </w:r>
      <w:r w:rsidRPr="00874E3E">
        <w:rPr>
          <w:lang w:val="en-GB"/>
        </w:rPr>
        <w:t xml:space="preserve"> </w:t>
      </w:r>
    </w:p>
    <w:p w:rsidR="00874E3E" w:rsidRDefault="00874E3E" w:rsidP="00874E3E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>T</w:t>
      </w:r>
      <w:r w:rsidRPr="00874E3E">
        <w:rPr>
          <w:lang w:val="en-GB"/>
        </w:rPr>
        <w:t xml:space="preserve">emporal distributions </w:t>
      </w:r>
      <w:r w:rsidR="00591BB8">
        <w:rPr>
          <w:lang w:val="en-GB"/>
        </w:rPr>
        <w:t>of sessions</w:t>
      </w:r>
    </w:p>
    <w:p w:rsidR="00874E3E" w:rsidRDefault="00874E3E" w:rsidP="00874E3E">
      <w:pPr>
        <w:numPr>
          <w:ilvl w:val="0"/>
          <w:numId w:val="7"/>
        </w:numPr>
        <w:rPr>
          <w:lang w:val="en-GB"/>
        </w:rPr>
      </w:pPr>
      <w:r w:rsidRPr="00874E3E">
        <w:rPr>
          <w:lang w:val="en-GB"/>
        </w:rPr>
        <w:t xml:space="preserve">Session size distributions </w:t>
      </w:r>
      <w:r>
        <w:rPr>
          <w:lang w:val="en-GB"/>
        </w:rPr>
        <w:t>(duration of charging</w:t>
      </w:r>
      <w:r w:rsidRPr="00874E3E">
        <w:rPr>
          <w:lang w:val="en-GB"/>
        </w:rPr>
        <w:t xml:space="preserve"> events</w:t>
      </w:r>
      <w:r>
        <w:rPr>
          <w:lang w:val="en-GB"/>
        </w:rPr>
        <w:t>)</w:t>
      </w:r>
      <w:r w:rsidRPr="00874E3E">
        <w:rPr>
          <w:lang w:val="en-GB"/>
        </w:rPr>
        <w:t xml:space="preserve"> </w:t>
      </w:r>
    </w:p>
    <w:p w:rsidR="00591BB8" w:rsidRDefault="00591BB8" w:rsidP="00591BB8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>Different</w:t>
      </w:r>
      <w:r w:rsidRPr="00591BB8">
        <w:rPr>
          <w:lang w:val="en-GB"/>
        </w:rPr>
        <w:t xml:space="preserve"> load curves from actual charging sessions</w:t>
      </w:r>
    </w:p>
    <w:p w:rsidR="004B50B6" w:rsidRDefault="00874E3E" w:rsidP="00874E3E">
      <w:pPr>
        <w:rPr>
          <w:lang w:val="en-GB"/>
        </w:rPr>
      </w:pPr>
      <w:r>
        <w:rPr>
          <w:lang w:val="en-GB"/>
        </w:rPr>
        <w:t>By taking thes</w:t>
      </w:r>
      <w:r w:rsidR="005E7BA3">
        <w:rPr>
          <w:lang w:val="en-GB"/>
        </w:rPr>
        <w:t>e variables into consideration,</w:t>
      </w:r>
      <w:r w:rsidR="00EF604F">
        <w:rPr>
          <w:lang w:val="en-GB"/>
        </w:rPr>
        <w:t xml:space="preserve"> realistic energy demand pattern</w:t>
      </w:r>
      <w:r w:rsidR="005E7BA3">
        <w:rPr>
          <w:lang w:val="en-GB"/>
        </w:rPr>
        <w:t>s</w:t>
      </w:r>
      <w:r w:rsidR="00EF604F">
        <w:rPr>
          <w:lang w:val="en-GB"/>
        </w:rPr>
        <w:t xml:space="preserve"> of a </w:t>
      </w:r>
      <w:r w:rsidR="005E7BA3">
        <w:rPr>
          <w:lang w:val="en-GB"/>
        </w:rPr>
        <w:t xml:space="preserve">HPC stations can be established </w:t>
      </w:r>
      <w:r>
        <w:rPr>
          <w:lang w:val="en-GB"/>
        </w:rPr>
        <w:t xml:space="preserve">in Model B </w:t>
      </w:r>
      <w:r w:rsidR="00C90AFC" w:rsidRPr="00C90AFC">
        <w:rPr>
          <w:lang w:val="en-GB"/>
        </w:rPr>
        <w:t xml:space="preserve">from 2018 up to 2030.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_Ref528242301 \h </w:instrText>
      </w:r>
      <w:r>
        <w:rPr>
          <w:lang w:val="en-GB"/>
        </w:rPr>
      </w:r>
      <w:r>
        <w:rPr>
          <w:lang w:val="en-GB"/>
        </w:rPr>
        <w:instrText xml:space="preserve"> \* MERGEFORMAT </w:instrText>
      </w:r>
      <w:r>
        <w:rPr>
          <w:lang w:val="en-GB"/>
        </w:rPr>
        <w:fldChar w:fldCharType="separate"/>
      </w:r>
      <w:r w:rsidRPr="00874E3E">
        <w:rPr>
          <w:lang w:val="en-GB"/>
        </w:rPr>
        <w:t>Figure 2</w:t>
      </w:r>
      <w:r>
        <w:rPr>
          <w:lang w:val="en-GB"/>
        </w:rPr>
        <w:fldChar w:fldCharType="end"/>
      </w:r>
      <w:r w:rsidR="00C90AFC" w:rsidRPr="00C90AFC">
        <w:rPr>
          <w:lang w:val="en-GB"/>
        </w:rPr>
        <w:t xml:space="preserve"> exemplary </w:t>
      </w:r>
      <w:r w:rsidR="00CF299A" w:rsidRPr="00C90AFC">
        <w:rPr>
          <w:lang w:val="en-GB"/>
        </w:rPr>
        <w:t xml:space="preserve">shows </w:t>
      </w:r>
      <w:r w:rsidR="00C90AFC" w:rsidRPr="00C90AFC">
        <w:rPr>
          <w:lang w:val="en-GB"/>
        </w:rPr>
        <w:t xml:space="preserve">the simulated grid load of three days of charging sessions </w:t>
      </w:r>
      <w:r w:rsidR="004A6EBE" w:rsidRPr="004A6EBE">
        <w:rPr>
          <w:lang w:val="en-GB"/>
        </w:rPr>
        <w:t xml:space="preserve">at a HPC station </w:t>
      </w:r>
      <w:r w:rsidR="00C90AFC" w:rsidRPr="00C90AFC">
        <w:rPr>
          <w:lang w:val="en-GB"/>
        </w:rPr>
        <w:t xml:space="preserve">in 2030. </w:t>
      </w:r>
    </w:p>
    <w:p w:rsidR="00C90AFC" w:rsidRPr="004B50B6" w:rsidRDefault="00AF3ED0" w:rsidP="00C90AFC">
      <w:pPr>
        <w:rPr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137160</wp:posOffset>
                </wp:positionV>
                <wp:extent cx="376555" cy="39941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FA9" w:rsidRPr="003C6FA9" w:rsidRDefault="003C6FA9">
                            <w:pPr>
                              <w:rPr>
                                <w:sz w:val="12"/>
                              </w:rPr>
                            </w:pPr>
                            <w:r w:rsidRPr="003C6FA9">
                              <w:rPr>
                                <w:sz w:val="12"/>
                              </w:rPr>
                              <w:t>[kW]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7.35pt;margin-top:10.8pt;width:29.65pt;height:3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" filled="f" stroked="f">
                <v:textbox style="layout-flow:vertical;mso-layout-flow-alt:bottom-to-top">
                  <w:txbxContent>
                    <w:p w:rsidR="003C6FA9" w:rsidRPr="003C6FA9" w:rsidRDefault="003C6FA9">
                      <w:pPr>
                        <w:rPr>
                          <w:sz w:val="12"/>
                        </w:rPr>
                      </w:pPr>
                      <w:r w:rsidRPr="003C6FA9">
                        <w:rPr>
                          <w:sz w:val="12"/>
                        </w:rPr>
                        <w:t>[kW]</w:t>
                      </w:r>
                    </w:p>
                  </w:txbxContent>
                </v:textbox>
              </v:shape>
            </w:pict>
          </mc:Fallback>
        </mc:AlternateContent>
      </w:r>
    </w:p>
    <w:p w:rsidR="004B50B6" w:rsidRPr="00010D71" w:rsidRDefault="00AF3ED0" w:rsidP="00227125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4959350" cy="1256665"/>
            <wp:effectExtent l="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0B6" w:rsidRPr="004B50B6" w:rsidRDefault="004B50B6" w:rsidP="004B50B6">
      <w:pPr>
        <w:pStyle w:val="Beschriftung"/>
        <w:rPr>
          <w:b w:val="0"/>
          <w:bCs w:val="0"/>
          <w:i/>
          <w:iCs/>
          <w:szCs w:val="24"/>
          <w:lang w:val="en-GB"/>
        </w:rPr>
      </w:pPr>
      <w:bookmarkStart w:id="2" w:name="_Toc26086066"/>
      <w:bookmarkStart w:id="3" w:name="_Toc68418491"/>
      <w:bookmarkStart w:id="4" w:name="_Ref528242301"/>
      <w:r w:rsidRPr="004B50B6">
        <w:rPr>
          <w:b w:val="0"/>
          <w:bCs w:val="0"/>
          <w:i/>
          <w:iCs/>
          <w:szCs w:val="24"/>
          <w:lang w:val="en-GB"/>
        </w:rPr>
        <w:t xml:space="preserve">Figure </w:t>
      </w:r>
      <w:r w:rsidRPr="004B50B6">
        <w:rPr>
          <w:b w:val="0"/>
          <w:bCs w:val="0"/>
          <w:i/>
          <w:iCs/>
          <w:szCs w:val="24"/>
          <w:lang w:val="de-AT"/>
        </w:rPr>
        <w:fldChar w:fldCharType="begin"/>
      </w:r>
      <w:r w:rsidRPr="004B50B6">
        <w:rPr>
          <w:b w:val="0"/>
          <w:bCs w:val="0"/>
          <w:i/>
          <w:iCs/>
          <w:szCs w:val="24"/>
          <w:lang w:val="en-GB"/>
        </w:rPr>
        <w:instrText xml:space="preserve"> SEQ Figure \* ARABIC </w:instrText>
      </w:r>
      <w:r w:rsidRPr="004B50B6">
        <w:rPr>
          <w:b w:val="0"/>
          <w:bCs w:val="0"/>
          <w:i/>
          <w:iCs/>
          <w:szCs w:val="24"/>
          <w:lang w:val="de-AT"/>
        </w:rPr>
        <w:fldChar w:fldCharType="separate"/>
      </w:r>
      <w:r>
        <w:rPr>
          <w:b w:val="0"/>
          <w:bCs w:val="0"/>
          <w:i/>
          <w:iCs/>
          <w:noProof/>
          <w:szCs w:val="24"/>
          <w:lang w:val="en-GB"/>
        </w:rPr>
        <w:t>2</w:t>
      </w:r>
      <w:r w:rsidRPr="004B50B6">
        <w:rPr>
          <w:b w:val="0"/>
          <w:bCs w:val="0"/>
          <w:i/>
          <w:iCs/>
          <w:szCs w:val="24"/>
          <w:lang w:val="de-AT"/>
        </w:rPr>
        <w:fldChar w:fldCharType="end"/>
      </w:r>
      <w:bookmarkEnd w:id="4"/>
      <w:r w:rsidRPr="004B50B6">
        <w:rPr>
          <w:b w:val="0"/>
          <w:bCs w:val="0"/>
          <w:i/>
          <w:iCs/>
          <w:szCs w:val="24"/>
          <w:lang w:val="en-GB"/>
        </w:rPr>
        <w:t xml:space="preserve">: </w:t>
      </w:r>
      <w:r>
        <w:rPr>
          <w:b w:val="0"/>
          <w:bCs w:val="0"/>
          <w:i/>
          <w:iCs/>
          <w:szCs w:val="24"/>
          <w:lang w:val="en-GB"/>
        </w:rPr>
        <w:t>S</w:t>
      </w:r>
      <w:r w:rsidRPr="004B50B6">
        <w:rPr>
          <w:b w:val="0"/>
          <w:bCs w:val="0"/>
          <w:i/>
          <w:iCs/>
          <w:szCs w:val="24"/>
          <w:lang w:val="en-GB"/>
        </w:rPr>
        <w:t xml:space="preserve">imulated grid load of three days of charging sessions </w:t>
      </w:r>
      <w:r w:rsidR="004A6EBE">
        <w:rPr>
          <w:b w:val="0"/>
          <w:bCs w:val="0"/>
          <w:i/>
          <w:iCs/>
          <w:szCs w:val="24"/>
          <w:lang w:val="en-GB"/>
        </w:rPr>
        <w:t xml:space="preserve">at a HPC station </w:t>
      </w:r>
      <w:r w:rsidRPr="004B50B6">
        <w:rPr>
          <w:b w:val="0"/>
          <w:bCs w:val="0"/>
          <w:i/>
          <w:iCs/>
          <w:szCs w:val="24"/>
          <w:lang w:val="en-GB"/>
        </w:rPr>
        <w:t>in 2030</w:t>
      </w:r>
    </w:p>
    <w:p w:rsidR="004B50B6" w:rsidRDefault="004B50B6" w:rsidP="00A156E4">
      <w:pPr>
        <w:pStyle w:val="Ueberschrift"/>
        <w:rPr>
          <w:lang w:val="en-GB"/>
        </w:rPr>
      </w:pPr>
    </w:p>
    <w:p w:rsidR="009D388A" w:rsidRDefault="00DC544C" w:rsidP="00DC544C">
      <w:pPr>
        <w:rPr>
          <w:lang w:val="en-GB"/>
        </w:rPr>
      </w:pPr>
      <w:r>
        <w:rPr>
          <w:lang w:val="en-GB"/>
        </w:rPr>
        <w:t xml:space="preserve">Finally, the </w:t>
      </w:r>
      <w:r w:rsidR="00DA47B5">
        <w:rPr>
          <w:lang w:val="en-GB"/>
        </w:rPr>
        <w:t xml:space="preserve">peak-shaving operation of the BESS is simulated in Model C, taking the output of Model B as an input. Additionally, different BESS parameters (power, energy capacity, efficiency, min./max. state of charge, etc.) and settings (target max. grid power demand, etc.) are taken into consideration. Multiple simulation runs </w:t>
      </w:r>
      <w:r w:rsidR="005A0C3E">
        <w:rPr>
          <w:lang w:val="en-GB"/>
        </w:rPr>
        <w:t xml:space="preserve">with varying parameters and settings have been conducted – </w:t>
      </w:r>
      <w:r w:rsidR="00BA3253">
        <w:rPr>
          <w:lang w:val="en-GB"/>
        </w:rPr>
        <w:t>a</w:t>
      </w:r>
      <w:r w:rsidR="005A0C3E">
        <w:rPr>
          <w:lang w:val="en-GB"/>
        </w:rPr>
        <w:t xml:space="preserve"> selected result </w:t>
      </w:r>
      <w:r w:rsidR="00B743A6">
        <w:rPr>
          <w:lang w:val="en-GB"/>
        </w:rPr>
        <w:t xml:space="preserve">of these runs </w:t>
      </w:r>
      <w:r w:rsidR="00BA3253">
        <w:rPr>
          <w:lang w:val="en-GB"/>
        </w:rPr>
        <w:t>is</w:t>
      </w:r>
      <w:r w:rsidR="005A0C3E">
        <w:rPr>
          <w:lang w:val="en-GB"/>
        </w:rPr>
        <w:t xml:space="preserve"> shown in the figure below.</w:t>
      </w:r>
    </w:p>
    <w:p w:rsidR="00BA3253" w:rsidRDefault="00BA3253" w:rsidP="00DC544C">
      <w:pPr>
        <w:rPr>
          <w:lang w:val="en-GB"/>
        </w:rPr>
      </w:pPr>
    </w:p>
    <w:p w:rsidR="00DA47B5" w:rsidRDefault="00AF3ED0" w:rsidP="00DA47B5">
      <w:pPr>
        <w:rPr>
          <w:lang w:val="en-GB"/>
        </w:rPr>
      </w:pPr>
      <w:r>
        <w:rPr>
          <w:noProof/>
          <w:lang w:val="de-AT" w:eastAsia="de-AT"/>
        </w:rPr>
        <w:drawing>
          <wp:inline distT="0" distB="0" distL="0" distR="0">
            <wp:extent cx="2484755" cy="1934210"/>
            <wp:effectExtent l="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2E7" w:rsidRPr="004B50B6" w:rsidRDefault="000042E7" w:rsidP="000042E7">
      <w:pPr>
        <w:pStyle w:val="Beschriftung"/>
        <w:rPr>
          <w:b w:val="0"/>
          <w:bCs w:val="0"/>
          <w:i/>
          <w:iCs/>
          <w:szCs w:val="24"/>
          <w:lang w:val="en-GB"/>
        </w:rPr>
      </w:pPr>
      <w:bookmarkStart w:id="5" w:name="_Ref528245921"/>
      <w:r w:rsidRPr="004B50B6">
        <w:rPr>
          <w:b w:val="0"/>
          <w:bCs w:val="0"/>
          <w:i/>
          <w:iCs/>
          <w:szCs w:val="24"/>
          <w:lang w:val="en-GB"/>
        </w:rPr>
        <w:t xml:space="preserve">Figure </w:t>
      </w:r>
      <w:r w:rsidRPr="004B50B6">
        <w:rPr>
          <w:b w:val="0"/>
          <w:bCs w:val="0"/>
          <w:i/>
          <w:iCs/>
          <w:szCs w:val="24"/>
          <w:lang w:val="de-AT"/>
        </w:rPr>
        <w:fldChar w:fldCharType="begin"/>
      </w:r>
      <w:r w:rsidRPr="004B50B6">
        <w:rPr>
          <w:b w:val="0"/>
          <w:bCs w:val="0"/>
          <w:i/>
          <w:iCs/>
          <w:szCs w:val="24"/>
          <w:lang w:val="en-GB"/>
        </w:rPr>
        <w:instrText xml:space="preserve"> SEQ Figure \* ARABIC </w:instrText>
      </w:r>
      <w:r w:rsidRPr="004B50B6">
        <w:rPr>
          <w:b w:val="0"/>
          <w:bCs w:val="0"/>
          <w:i/>
          <w:iCs/>
          <w:szCs w:val="24"/>
          <w:lang w:val="de-AT"/>
        </w:rPr>
        <w:fldChar w:fldCharType="separate"/>
      </w:r>
      <w:r>
        <w:rPr>
          <w:b w:val="0"/>
          <w:bCs w:val="0"/>
          <w:i/>
          <w:iCs/>
          <w:noProof/>
          <w:szCs w:val="24"/>
          <w:lang w:val="en-GB"/>
        </w:rPr>
        <w:t>3</w:t>
      </w:r>
      <w:r w:rsidRPr="004B50B6">
        <w:rPr>
          <w:b w:val="0"/>
          <w:bCs w:val="0"/>
          <w:i/>
          <w:iCs/>
          <w:szCs w:val="24"/>
          <w:lang w:val="de-AT"/>
        </w:rPr>
        <w:fldChar w:fldCharType="end"/>
      </w:r>
      <w:bookmarkEnd w:id="5"/>
      <w:r w:rsidRPr="004B50B6">
        <w:rPr>
          <w:b w:val="0"/>
          <w:bCs w:val="0"/>
          <w:i/>
          <w:iCs/>
          <w:szCs w:val="24"/>
          <w:lang w:val="en-GB"/>
        </w:rPr>
        <w:t xml:space="preserve">: </w:t>
      </w:r>
      <w:r w:rsidR="00BA3253">
        <w:rPr>
          <w:b w:val="0"/>
          <w:bCs w:val="0"/>
          <w:i/>
          <w:iCs/>
          <w:szCs w:val="24"/>
          <w:lang w:val="en-GB"/>
        </w:rPr>
        <w:t>Selected result</w:t>
      </w:r>
      <w:r>
        <w:rPr>
          <w:b w:val="0"/>
          <w:bCs w:val="0"/>
          <w:i/>
          <w:iCs/>
          <w:szCs w:val="24"/>
          <w:lang w:val="en-GB"/>
        </w:rPr>
        <w:t xml:space="preserve"> of Model C: </w:t>
      </w:r>
      <w:r w:rsidR="00BA3253">
        <w:rPr>
          <w:b w:val="0"/>
          <w:bCs w:val="0"/>
          <w:i/>
          <w:iCs/>
          <w:szCs w:val="24"/>
          <w:lang w:val="en-GB"/>
        </w:rPr>
        <w:t xml:space="preserve">A </w:t>
      </w:r>
      <w:r>
        <w:rPr>
          <w:b w:val="0"/>
          <w:bCs w:val="0"/>
          <w:i/>
          <w:iCs/>
          <w:szCs w:val="24"/>
          <w:lang w:val="en-GB"/>
        </w:rPr>
        <w:t xml:space="preserve">comparison of the achievable peak vs. peak without BESS </w:t>
      </w:r>
    </w:p>
    <w:p w:rsidR="00DA47B5" w:rsidRDefault="00DA47B5" w:rsidP="00DC544C">
      <w:pPr>
        <w:rPr>
          <w:lang w:val="en-GB"/>
        </w:rPr>
      </w:pPr>
    </w:p>
    <w:p w:rsidR="00BA3253" w:rsidRDefault="000042E7" w:rsidP="00BA3253">
      <w:pPr>
        <w:rPr>
          <w:lang w:val="en-GB"/>
        </w:rPr>
      </w:pPr>
      <w:r>
        <w:rPr>
          <w:lang w:val="en-GB"/>
        </w:rPr>
        <w:t>The choice of the target grid power limit</w:t>
      </w:r>
      <w:r w:rsidRPr="000042E7">
        <w:rPr>
          <w:lang w:val="en-GB"/>
        </w:rPr>
        <w:t xml:space="preserve"> for the </w:t>
      </w:r>
      <w:r>
        <w:rPr>
          <w:lang w:val="en-GB"/>
        </w:rPr>
        <w:t>averaged-power peak-s</w:t>
      </w:r>
      <w:r w:rsidRPr="000042E7">
        <w:rPr>
          <w:lang w:val="en-GB"/>
        </w:rPr>
        <w:t xml:space="preserve">having function </w:t>
      </w:r>
      <w:r>
        <w:rPr>
          <w:lang w:val="en-GB"/>
        </w:rPr>
        <w:t xml:space="preserve">(i.e. 15-minute average) </w:t>
      </w:r>
      <w:r w:rsidRPr="000042E7">
        <w:rPr>
          <w:lang w:val="en-GB"/>
        </w:rPr>
        <w:t xml:space="preserve">of the </w:t>
      </w:r>
      <w:r>
        <w:rPr>
          <w:lang w:val="en-GB"/>
        </w:rPr>
        <w:t>BESS</w:t>
      </w:r>
      <w:r w:rsidRPr="000042E7">
        <w:rPr>
          <w:lang w:val="en-GB"/>
        </w:rPr>
        <w:t xml:space="preserve"> impacts the actual grid power peak </w:t>
      </w:r>
      <w:r w:rsidR="00BA3253">
        <w:rPr>
          <w:lang w:val="en-GB"/>
        </w:rPr>
        <w:t>that can be achieved – if the target is too ambitious the achieved peak will be higher than the target value.</w:t>
      </w:r>
      <w:r w:rsidRPr="000042E7">
        <w:rPr>
          <w:lang w:val="en-GB"/>
        </w:rPr>
        <w:t xml:space="preserve"> </w:t>
      </w:r>
      <w:r w:rsidR="00BA3253">
        <w:rPr>
          <w:lang w:val="en-GB"/>
        </w:rPr>
        <w:fldChar w:fldCharType="begin"/>
      </w:r>
      <w:r w:rsidR="00BA3253">
        <w:rPr>
          <w:lang w:val="en-GB"/>
        </w:rPr>
        <w:instrText xml:space="preserve"> REF _Ref528245921 \h </w:instrText>
      </w:r>
      <w:r w:rsidR="00BA3253">
        <w:rPr>
          <w:lang w:val="en-GB"/>
        </w:rPr>
      </w:r>
      <w:r w:rsidR="00BA3253">
        <w:rPr>
          <w:lang w:val="en-GB"/>
        </w:rPr>
        <w:instrText xml:space="preserve"> \* MERGEFORMAT </w:instrText>
      </w:r>
      <w:r w:rsidR="00BA3253">
        <w:rPr>
          <w:lang w:val="en-GB"/>
        </w:rPr>
        <w:fldChar w:fldCharType="separate"/>
      </w:r>
      <w:r w:rsidR="00BA3253" w:rsidRPr="00BA3253">
        <w:rPr>
          <w:lang w:val="en-GB"/>
        </w:rPr>
        <w:t>Figure 3</w:t>
      </w:r>
      <w:r w:rsidR="00BA3253">
        <w:rPr>
          <w:lang w:val="en-GB"/>
        </w:rPr>
        <w:fldChar w:fldCharType="end"/>
      </w:r>
      <w:r w:rsidR="00BA3253">
        <w:rPr>
          <w:lang w:val="en-GB"/>
        </w:rPr>
        <w:t xml:space="preserve"> shows </w:t>
      </w:r>
      <w:r w:rsidR="00BA3253" w:rsidRPr="00BA3253">
        <w:rPr>
          <w:lang w:val="en-GB"/>
        </w:rPr>
        <w:t xml:space="preserve">the “best peak”, i.e. the lowest value of </w:t>
      </w:r>
      <w:r w:rsidR="00BA3253">
        <w:rPr>
          <w:lang w:val="en-GB"/>
        </w:rPr>
        <w:t>15-minute average power demand,</w:t>
      </w:r>
      <w:r w:rsidR="00BA3253" w:rsidRPr="00BA3253">
        <w:rPr>
          <w:lang w:val="en-GB"/>
        </w:rPr>
        <w:t xml:space="preserve"> that can be achieved with the </w:t>
      </w:r>
      <w:r w:rsidR="00BA3253">
        <w:rPr>
          <w:lang w:val="en-GB"/>
        </w:rPr>
        <w:t xml:space="preserve">peak-shaving operation of a 500 kW / 500 kWh BESS </w:t>
      </w:r>
      <w:r w:rsidR="00BA3253" w:rsidRPr="00BA3253">
        <w:rPr>
          <w:lang w:val="en-GB"/>
        </w:rPr>
        <w:t xml:space="preserve">for each year </w:t>
      </w:r>
      <w:r w:rsidR="00BA3253">
        <w:rPr>
          <w:lang w:val="en-GB"/>
        </w:rPr>
        <w:t>within the range 2018-2030</w:t>
      </w:r>
      <w:r w:rsidR="00BA3253" w:rsidRPr="00BA3253">
        <w:rPr>
          <w:lang w:val="en-GB"/>
        </w:rPr>
        <w:t>.</w:t>
      </w:r>
    </w:p>
    <w:p w:rsidR="003F1CFD" w:rsidRDefault="003F1CFD" w:rsidP="000042E7">
      <w:pPr>
        <w:rPr>
          <w:lang w:val="en-GB"/>
        </w:rPr>
      </w:pPr>
    </w:p>
    <w:p w:rsidR="00EF604F" w:rsidRDefault="003F1CFD" w:rsidP="000042E7">
      <w:pPr>
        <w:rPr>
          <w:lang w:val="en-GB"/>
        </w:rPr>
      </w:pPr>
      <w:r w:rsidRPr="003F1CFD">
        <w:rPr>
          <w:lang w:val="en-GB"/>
        </w:rPr>
        <w:t xml:space="preserve">As can be seen from this plot, it appears possible to achieve significant (and increasing) cuts in peak power </w:t>
      </w:r>
      <w:r>
        <w:rPr>
          <w:lang w:val="en-GB"/>
        </w:rPr>
        <w:t xml:space="preserve">and </w:t>
      </w:r>
      <w:r w:rsidR="00B743A6">
        <w:rPr>
          <w:lang w:val="en-GB"/>
        </w:rPr>
        <w:t xml:space="preserve">therefore also in </w:t>
      </w:r>
      <w:r>
        <w:rPr>
          <w:lang w:val="en-GB"/>
        </w:rPr>
        <w:t xml:space="preserve">the corresponding cost (i.e. grid fees) </w:t>
      </w:r>
      <w:r w:rsidRPr="003F1CFD">
        <w:rPr>
          <w:lang w:val="en-GB"/>
        </w:rPr>
        <w:t xml:space="preserve">due to </w:t>
      </w:r>
      <w:r>
        <w:rPr>
          <w:lang w:val="en-GB"/>
        </w:rPr>
        <w:t>peak-shaving operation of the BESS</w:t>
      </w:r>
      <w:r w:rsidRPr="003F1CFD">
        <w:rPr>
          <w:lang w:val="en-GB"/>
        </w:rPr>
        <w:t xml:space="preserve"> </w:t>
      </w:r>
      <w:r>
        <w:rPr>
          <w:lang w:val="en-GB"/>
        </w:rPr>
        <w:t xml:space="preserve">at the HPC location </w:t>
      </w:r>
      <w:r w:rsidRPr="003F1CFD">
        <w:rPr>
          <w:lang w:val="en-GB"/>
        </w:rPr>
        <w:t>up to th</w:t>
      </w:r>
      <w:r>
        <w:rPr>
          <w:lang w:val="en-GB"/>
        </w:rPr>
        <w:t>e year 2030 and possibly beyond</w:t>
      </w:r>
      <w:r w:rsidRPr="003F1CFD">
        <w:rPr>
          <w:lang w:val="en-GB"/>
        </w:rPr>
        <w:t>.</w:t>
      </w:r>
    </w:p>
    <w:p w:rsidR="009D388A" w:rsidRPr="00DA47B5" w:rsidRDefault="009D388A" w:rsidP="00A156E4">
      <w:pPr>
        <w:pStyle w:val="Ueberschrift"/>
        <w:rPr>
          <w:lang w:val="en-GB"/>
        </w:rPr>
      </w:pPr>
    </w:p>
    <w:p w:rsidR="005E4D4F" w:rsidRPr="000042E7" w:rsidRDefault="005E4D4F" w:rsidP="00A156E4">
      <w:pPr>
        <w:pStyle w:val="Ueberschrift"/>
        <w:rPr>
          <w:lang w:val="en-GB"/>
        </w:rPr>
      </w:pPr>
      <w:r w:rsidRPr="000042E7">
        <w:rPr>
          <w:lang w:val="en-GB"/>
        </w:rPr>
        <w:t>Literatur</w:t>
      </w:r>
      <w:bookmarkEnd w:id="2"/>
      <w:bookmarkEnd w:id="3"/>
      <w:r w:rsidR="00105A3D" w:rsidRPr="000042E7">
        <w:rPr>
          <w:lang w:val="en-GB"/>
        </w:rPr>
        <w:t>e</w:t>
      </w:r>
    </w:p>
    <w:p w:rsidR="005E4D4F" w:rsidRPr="00105A3D" w:rsidRDefault="00483B87" w:rsidP="00227125">
      <w:pPr>
        <w:pStyle w:val="Literatur"/>
        <w:rPr>
          <w:lang w:val="en-GB"/>
        </w:rPr>
      </w:pPr>
      <w:r w:rsidRPr="00105A3D">
        <w:rPr>
          <w:lang w:val="en-GB"/>
        </w:rPr>
        <w:t>[1]</w:t>
      </w:r>
      <w:r w:rsidRPr="00105A3D">
        <w:rPr>
          <w:lang w:val="en-GB"/>
        </w:rPr>
        <w:tab/>
      </w:r>
      <w:r w:rsidR="009D388A">
        <w:rPr>
          <w:lang w:val="en-GB"/>
        </w:rPr>
        <w:t xml:space="preserve">SYNERG-E project website: </w:t>
      </w:r>
      <w:hyperlink r:id="rId11" w:history="1">
        <w:r w:rsidR="009D388A" w:rsidRPr="00966686">
          <w:rPr>
            <w:rStyle w:val="Hyperlink"/>
            <w:lang w:val="en-GB"/>
          </w:rPr>
          <w:t>www.synerg-e-project.eu</w:t>
        </w:r>
      </w:hyperlink>
      <w:r w:rsidR="009D388A">
        <w:rPr>
          <w:lang w:val="en-GB"/>
        </w:rPr>
        <w:t xml:space="preserve"> </w:t>
      </w:r>
    </w:p>
    <w:p w:rsidR="005E4D4F" w:rsidRPr="00105A3D" w:rsidRDefault="005E4D4F" w:rsidP="00227125">
      <w:pPr>
        <w:pStyle w:val="Literatur"/>
        <w:rPr>
          <w:lang w:val="en-GB"/>
        </w:rPr>
      </w:pPr>
    </w:p>
    <w:sectPr w:rsidR="005E4D4F" w:rsidRPr="00105A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FD" w:rsidRDefault="002A79FD">
      <w:r>
        <w:separator/>
      </w:r>
    </w:p>
  </w:endnote>
  <w:endnote w:type="continuationSeparator" w:id="0">
    <w:p w:rsidR="002A79FD" w:rsidRDefault="002A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FD" w:rsidRDefault="002A79FD">
      <w:r>
        <w:separator/>
      </w:r>
    </w:p>
  </w:footnote>
  <w:footnote w:type="continuationSeparator" w:id="0">
    <w:p w:rsidR="002A79FD" w:rsidRDefault="002A79FD">
      <w:r>
        <w:continuationSeparator/>
      </w:r>
    </w:p>
  </w:footnote>
  <w:footnote w:id="1">
    <w:p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737F27">
        <w:t>Europaplatz 2</w:t>
      </w:r>
      <w:r w:rsidR="00E520E6">
        <w:t xml:space="preserve">, </w:t>
      </w:r>
      <w:r w:rsidR="00A7431D">
        <w:t xml:space="preserve">1150 Wien, </w:t>
      </w:r>
      <w:r w:rsidR="00737F27" w:rsidRPr="00737F27">
        <w:t>+43 (0)50313 – 52296</w:t>
      </w:r>
      <w:r w:rsidR="00A6148D">
        <w:t>,</w:t>
      </w:r>
      <w:r w:rsidR="00FD5D56">
        <w:t xml:space="preserve"> </w:t>
      </w:r>
      <w:r w:rsidR="00737F27">
        <w:t>karl.zach@verbund.com</w:t>
      </w:r>
      <w:r>
        <w:t xml:space="preserve">, </w:t>
      </w:r>
      <w:r w:rsidR="00737F27">
        <w:t>www.verbund.com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247FC"/>
    <w:multiLevelType w:val="hybridMultilevel"/>
    <w:tmpl w:val="9E42BBC0"/>
    <w:lvl w:ilvl="0" w:tplc="237EEDA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2F2C"/>
    <w:multiLevelType w:val="hybridMultilevel"/>
    <w:tmpl w:val="FB488BC6"/>
    <w:lvl w:ilvl="0" w:tplc="237EEDA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5967"/>
    <w:multiLevelType w:val="multilevel"/>
    <w:tmpl w:val="0978BA90"/>
    <w:numStyleLink w:val="Aufzhlung"/>
  </w:abstractNum>
  <w:abstractNum w:abstractNumId="5" w15:restartNumberingAfterBreak="0">
    <w:nsid w:val="65C91387"/>
    <w:multiLevelType w:val="hybridMultilevel"/>
    <w:tmpl w:val="8EC49F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F"/>
    <w:rsid w:val="000042E7"/>
    <w:rsid w:val="00006735"/>
    <w:rsid w:val="00010D71"/>
    <w:rsid w:val="00010E92"/>
    <w:rsid w:val="00105A3D"/>
    <w:rsid w:val="001E2747"/>
    <w:rsid w:val="002014D3"/>
    <w:rsid w:val="0021551C"/>
    <w:rsid w:val="00227125"/>
    <w:rsid w:val="00262FD5"/>
    <w:rsid w:val="002946B8"/>
    <w:rsid w:val="002A79FD"/>
    <w:rsid w:val="002B06CF"/>
    <w:rsid w:val="003278AB"/>
    <w:rsid w:val="00350F98"/>
    <w:rsid w:val="003B676F"/>
    <w:rsid w:val="003C28FE"/>
    <w:rsid w:val="003C6FA9"/>
    <w:rsid w:val="003F1CFD"/>
    <w:rsid w:val="00431B83"/>
    <w:rsid w:val="00483B87"/>
    <w:rsid w:val="004A6EBE"/>
    <w:rsid w:val="004B50B6"/>
    <w:rsid w:val="0056007D"/>
    <w:rsid w:val="00591BB8"/>
    <w:rsid w:val="005A0C3E"/>
    <w:rsid w:val="005B1ADB"/>
    <w:rsid w:val="005E4D4F"/>
    <w:rsid w:val="005E7BA3"/>
    <w:rsid w:val="006542A9"/>
    <w:rsid w:val="007378C8"/>
    <w:rsid w:val="00737F27"/>
    <w:rsid w:val="00740A3C"/>
    <w:rsid w:val="00741EC0"/>
    <w:rsid w:val="007A63EF"/>
    <w:rsid w:val="007B68C7"/>
    <w:rsid w:val="00803917"/>
    <w:rsid w:val="00874E3E"/>
    <w:rsid w:val="008C45B3"/>
    <w:rsid w:val="008C5E89"/>
    <w:rsid w:val="0096744D"/>
    <w:rsid w:val="009D19DF"/>
    <w:rsid w:val="009D388A"/>
    <w:rsid w:val="00A00820"/>
    <w:rsid w:val="00A07737"/>
    <w:rsid w:val="00A156E4"/>
    <w:rsid w:val="00A6148D"/>
    <w:rsid w:val="00A7431D"/>
    <w:rsid w:val="00AC6DAB"/>
    <w:rsid w:val="00AF3ED0"/>
    <w:rsid w:val="00B743A6"/>
    <w:rsid w:val="00B8674F"/>
    <w:rsid w:val="00BA3253"/>
    <w:rsid w:val="00BF05FA"/>
    <w:rsid w:val="00C90AFC"/>
    <w:rsid w:val="00CC2183"/>
    <w:rsid w:val="00CE1A70"/>
    <w:rsid w:val="00CF299A"/>
    <w:rsid w:val="00D53E86"/>
    <w:rsid w:val="00D736F8"/>
    <w:rsid w:val="00DA47B5"/>
    <w:rsid w:val="00DB474D"/>
    <w:rsid w:val="00DC544C"/>
    <w:rsid w:val="00DD242C"/>
    <w:rsid w:val="00DD2F40"/>
    <w:rsid w:val="00E060D8"/>
    <w:rsid w:val="00E37FB9"/>
    <w:rsid w:val="00E520E6"/>
    <w:rsid w:val="00EF604F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6FC3AA-1669-4317-92D1-87595313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B50B6"/>
    <w:rPr>
      <w:b/>
      <w:bCs/>
      <w:szCs w:val="20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styleId="Hyperlink">
    <w:name w:val="Hyperlink"/>
    <w:uiPriority w:val="99"/>
    <w:unhideWhenUsed/>
    <w:rsid w:val="009D388A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96744D"/>
    <w:rPr>
      <w:color w:val="954F72"/>
      <w:u w:val="singl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nerg-e-project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8070-2517-40CC-AACB-2AA540A0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4995</CharactersWithSpaces>
  <SharedDoc>false</SharedDoc>
  <HLinks>
    <vt:vector size="6" baseType="variant">
      <vt:variant>
        <vt:i4>6553637</vt:i4>
      </vt:variant>
      <vt:variant>
        <vt:i4>24</vt:i4>
      </vt:variant>
      <vt:variant>
        <vt:i4>0</vt:i4>
      </vt:variant>
      <vt:variant>
        <vt:i4>5</vt:i4>
      </vt:variant>
      <vt:variant>
        <vt:lpwstr>http://www.synerg-e-project.eu/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Zach Karl Anton</cp:lastModifiedBy>
  <cp:revision>2</cp:revision>
  <dcterms:created xsi:type="dcterms:W3CDTF">2018-10-31T09:26:00Z</dcterms:created>
  <dcterms:modified xsi:type="dcterms:W3CDTF">2018-10-31T09:26:00Z</dcterms:modified>
</cp:coreProperties>
</file>