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1E0" w:rsidRDefault="00AC71E0" w:rsidP="00A156E4">
      <w:pPr>
        <w:pStyle w:val="AutorenOrganisation"/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</w:pPr>
      <w:r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t>H</w:t>
      </w:r>
      <w:r w:rsidR="0005321C"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t>EIMSPEICHERSYSTEME UND ZENTRALE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t xml:space="preserve"> BATTERIESPEICHER</w:t>
      </w:r>
      <w:r w:rsidRPr="00AC71E0"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t xml:space="preserve"> </w:t>
      </w:r>
      <w:r w:rsidR="0005321C"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t>– KRITISCHE FAKTOREN DER WIRTSCHAFTLICHKEIT</w:t>
      </w:r>
    </w:p>
    <w:p w:rsidR="00BF05FA" w:rsidRDefault="00BF05FA" w:rsidP="00A156E4">
      <w:pPr>
        <w:pStyle w:val="AutorenOrganisation"/>
      </w:pPr>
      <w:r>
        <w:t>Themenbereich</w:t>
      </w:r>
      <w:r w:rsidR="00D74F8B">
        <w:t xml:space="preserve"> 2</w:t>
      </w:r>
    </w:p>
    <w:p w:rsidR="005E4D4F" w:rsidRPr="005E4D4F" w:rsidRDefault="00D74F8B" w:rsidP="00A156E4">
      <w:pPr>
        <w:pStyle w:val="AutorenOrganisation"/>
      </w:pPr>
      <w:r>
        <w:t>Wolfgang PRÜGGLER</w:t>
      </w:r>
      <w:r w:rsidR="005E4D4F" w:rsidRPr="00010E92">
        <w:rPr>
          <w:vertAlign w:val="superscript"/>
        </w:rPr>
        <w:footnoteReference w:id="1"/>
      </w:r>
      <w:r w:rsidR="00A156E4" w:rsidRPr="00A156E4">
        <w:rPr>
          <w:vertAlign w:val="superscript"/>
        </w:rPr>
        <w:t>(1</w:t>
      </w:r>
      <w:r w:rsidR="00A156E4">
        <w:rPr>
          <w:vertAlign w:val="superscript"/>
        </w:rPr>
        <w:t>)</w:t>
      </w:r>
      <w:r w:rsidR="005E4D4F" w:rsidRPr="005E4D4F">
        <w:t xml:space="preserve">, </w:t>
      </w:r>
      <w:r>
        <w:t xml:space="preserve">Natalie </w:t>
      </w:r>
      <w:proofErr w:type="gramStart"/>
      <w:r>
        <w:t>PRÜGGLER</w:t>
      </w:r>
      <w:r w:rsidR="00A156E4" w:rsidRPr="00A156E4">
        <w:rPr>
          <w:vertAlign w:val="superscript"/>
        </w:rPr>
        <w:t>(</w:t>
      </w:r>
      <w:proofErr w:type="gramEnd"/>
      <w:r w:rsidR="00010E92">
        <w:rPr>
          <w:vertAlign w:val="superscript"/>
        </w:rPr>
        <w:t>2</w:t>
      </w:r>
      <w:r w:rsidR="00A156E4">
        <w:rPr>
          <w:vertAlign w:val="superscript"/>
        </w:rPr>
        <w:t>)</w:t>
      </w:r>
    </w:p>
    <w:p w:rsidR="00A07737" w:rsidRPr="005E4D4F" w:rsidRDefault="00A156E4" w:rsidP="00D74F8B">
      <w:pPr>
        <w:pStyle w:val="AutorenOrganisation"/>
      </w:pPr>
      <w:r>
        <w:rPr>
          <w:vertAlign w:val="superscript"/>
        </w:rPr>
        <w:t>(</w:t>
      </w:r>
      <w:proofErr w:type="gramStart"/>
      <w:r w:rsidR="00010E92" w:rsidRPr="00010E92">
        <w:rPr>
          <w:vertAlign w:val="superscript"/>
        </w:rPr>
        <w:t>1</w:t>
      </w:r>
      <w:r>
        <w:rPr>
          <w:vertAlign w:val="superscript"/>
        </w:rPr>
        <w:t>)</w:t>
      </w:r>
      <w:r w:rsidR="00D74F8B">
        <w:t>MOOSMOAR</w:t>
      </w:r>
      <w:proofErr w:type="gramEnd"/>
      <w:r w:rsidR="00D74F8B">
        <w:t xml:space="preserve"> </w:t>
      </w:r>
      <w:proofErr w:type="spellStart"/>
      <w:r w:rsidR="00D74F8B">
        <w:t>Energies</w:t>
      </w:r>
      <w:proofErr w:type="spellEnd"/>
      <w:r w:rsidR="00D74F8B">
        <w:t xml:space="preserve"> OG</w:t>
      </w:r>
      <w:r w:rsidR="00010E92">
        <w:t xml:space="preserve">, </w:t>
      </w:r>
      <w:r w:rsidRPr="00A156E4">
        <w:rPr>
          <w:vertAlign w:val="superscript"/>
        </w:rPr>
        <w:t>(</w:t>
      </w:r>
      <w:r w:rsidR="00010E92" w:rsidRPr="00010E92">
        <w:rPr>
          <w:vertAlign w:val="superscript"/>
        </w:rPr>
        <w:t>2</w:t>
      </w:r>
      <w:r>
        <w:rPr>
          <w:vertAlign w:val="superscript"/>
        </w:rPr>
        <w:t>)</w:t>
      </w:r>
      <w:r w:rsidR="00D74F8B" w:rsidRPr="00D74F8B">
        <w:t xml:space="preserve"> </w:t>
      </w:r>
      <w:r w:rsidR="00D74F8B">
        <w:t xml:space="preserve">MOOSMOAR </w:t>
      </w:r>
      <w:proofErr w:type="spellStart"/>
      <w:r w:rsidR="00D74F8B">
        <w:t>Energies</w:t>
      </w:r>
      <w:proofErr w:type="spellEnd"/>
      <w:r w:rsidR="00D74F8B">
        <w:t xml:space="preserve"> OG</w:t>
      </w:r>
    </w:p>
    <w:p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:rsidR="00AC71E0" w:rsidRDefault="00AC71E0" w:rsidP="00AC71E0">
      <w:r>
        <w:t>Die Zahl der installierten PV-Heimspeicher in Österreich und Deutschland steigt seit dem Jahr 2013 kontinuierlich und beläuft sich inzwischen auf 2.400 Systeme in Österreich (Ende 2016 [1]) bzw. über 60.000 Systems in Deutschland (bis März 2017 [2]). Die klassische Einsatzstrategie dieser Heimspeicher hat die Erhöhung des PV Eigenverbrauchs der individuellen Haushalte zum Ziel.</w:t>
      </w:r>
    </w:p>
    <w:p w:rsidR="00AC71E0" w:rsidRDefault="00AC71E0" w:rsidP="00AC71E0"/>
    <w:p w:rsidR="00AC71E0" w:rsidRDefault="00AC71E0" w:rsidP="00AC71E0">
      <w:r>
        <w:t xml:space="preserve">Darüber hinaus kommen vermehrt zentrale Speicherlösungen zum Einsatz, welche den Kunden </w:t>
      </w:r>
      <w:r w:rsidR="00D74F8B">
        <w:t xml:space="preserve">einerseits die Erhöhung des PV-Eigenverbrauchs ermöglichen, andererseits aber auch Dienstleistungen für den Verteilernetzbetrieb (z.B. zur Spannungshaltung im ländlichen Raum) bereitstellen sollen. </w:t>
      </w:r>
    </w:p>
    <w:p w:rsidR="00D74F8B" w:rsidRDefault="00D74F8B" w:rsidP="00AC71E0"/>
    <w:p w:rsidR="00D74F8B" w:rsidRDefault="00D74F8B" w:rsidP="00AC71E0">
      <w:r>
        <w:t>Dieser Beitrag vergleicht daher die betriebswirtschaftliche Performance von Heimspeichern und zentralen Speichereinheiten auf Basis von Cashflow-Analysen. Kritische Wirtschaftlichkeitsparameter werden identifiziert und deren betri</w:t>
      </w:r>
      <w:r w:rsidR="007559A7">
        <w:t xml:space="preserve">ebswirtschaftliche Auswirkung </w:t>
      </w:r>
      <w:r>
        <w:t xml:space="preserve">diskutiert. </w:t>
      </w:r>
    </w:p>
    <w:p w:rsidR="005E4D4F" w:rsidRPr="005E4D4F" w:rsidRDefault="005E4D4F" w:rsidP="00227125"/>
    <w:p w:rsidR="005E4D4F" w:rsidRPr="005E4D4F" w:rsidRDefault="005E4D4F" w:rsidP="005E4D4F">
      <w:pPr>
        <w:pStyle w:val="Ueberschrift"/>
      </w:pPr>
      <w:r w:rsidRPr="005E4D4F">
        <w:t>Methodische Vorgangsweise</w:t>
      </w:r>
    </w:p>
    <w:p w:rsidR="001E1AEB" w:rsidRDefault="001E1AEB" w:rsidP="00227125">
      <w:r>
        <w:t>Basierend auf Preisangaben und Betriebserfahrungen zu Heimspeichersystemen</w:t>
      </w:r>
      <w:r w:rsidR="00836F07">
        <w:t xml:space="preserve"> (unterschiedliche Speichergrößen)</w:t>
      </w:r>
      <w:r>
        <w:t xml:space="preserve"> sowie einer zentralen Speichereinheit</w:t>
      </w:r>
      <w:r w:rsidR="00836F07">
        <w:t xml:space="preserve"> (100 kW, 100 kWh)</w:t>
      </w:r>
      <w:r>
        <w:t>, welche im Rahmen des Forschungsprojekts LEAFS</w:t>
      </w:r>
      <w:r>
        <w:rPr>
          <w:rStyle w:val="Funotenzeichen"/>
        </w:rPr>
        <w:footnoteReference w:id="2"/>
      </w:r>
      <w:r>
        <w:t xml:space="preserve"> installiert wurden, erfolgt eine Bewertung der Kosten</w:t>
      </w:r>
      <w:r w:rsidR="00A96862">
        <w:t xml:space="preserve"> (Zahlungen in Form von jährlichen Cashflows)</w:t>
      </w:r>
      <w:r>
        <w:t xml:space="preserve"> im Vergleich zu den Erlös</w:t>
      </w:r>
      <w:r w:rsidR="00A96862">
        <w:t>en (jährliche Vorteile durch Eigenverbrauch des erzeugten PV-Stroms oder Zahlungen der Kunden für zentrale Speicherlösung – ebenfalls in Form von Cashflows)</w:t>
      </w:r>
      <w:r>
        <w:t xml:space="preserve">. Die unterschiedlichen Erlöse beruhen dabei auf Simulationsergebnissen zu verschiedenen Einsatzstrategien </w:t>
      </w:r>
      <w:r w:rsidR="00836F07">
        <w:t>(z.B. Maximierung des Eigenverbrauchs oder Minimi</w:t>
      </w:r>
      <w:r w:rsidR="00F93526">
        <w:t xml:space="preserve">erung der Strombezugskosten einer Vielzahl an </w:t>
      </w:r>
      <w:r w:rsidR="00836F07">
        <w:t xml:space="preserve">Haushalten) </w:t>
      </w:r>
      <w:r>
        <w:t>der Heimspeicher</w:t>
      </w:r>
      <w:r w:rsidR="00836F07">
        <w:t xml:space="preserve"> (basierend auf der Last- und Kundenstruktur in </w:t>
      </w:r>
      <w:proofErr w:type="spellStart"/>
      <w:r w:rsidR="00836F07">
        <w:t>Köstendorf</w:t>
      </w:r>
      <w:proofErr w:type="spellEnd"/>
      <w:r w:rsidR="00836F07">
        <w:t xml:space="preserve"> (Salzburg) bzw. </w:t>
      </w:r>
      <w:proofErr w:type="spellStart"/>
      <w:r w:rsidR="00836F07">
        <w:t>Eberstalzell</w:t>
      </w:r>
      <w:proofErr w:type="spellEnd"/>
      <w:r w:rsidR="00836F07">
        <w:t xml:space="preserve"> (Oberösterreich))</w:t>
      </w:r>
      <w:r>
        <w:t xml:space="preserve"> und der zentralen Speichereinheit (</w:t>
      </w:r>
      <w:r w:rsidR="00836F07">
        <w:t>basierend auf der Last- und Kundenstruktur in Heimschuh, Steiermark</w:t>
      </w:r>
      <w:r>
        <w:t xml:space="preserve">). Der Betrachtungszeitraum der </w:t>
      </w:r>
      <w:r w:rsidR="00A96862">
        <w:t xml:space="preserve">durchgeführten </w:t>
      </w:r>
      <w:r>
        <w:t>Cashflow-Analyse</w:t>
      </w:r>
      <w:r w:rsidR="00836F07">
        <w:t>n</w:t>
      </w:r>
      <w:r>
        <w:t xml:space="preserve"> wurde für beide Speichertypen mit </w:t>
      </w:r>
      <w:r w:rsidR="00FE6867">
        <w:t>20 Jahren festgelegt. Weitere Details zu den verwendeten Bewertungsparametern werden im Konferenzbeitrag angegeben.</w:t>
      </w:r>
    </w:p>
    <w:p w:rsidR="005E4D4F" w:rsidRPr="005E4D4F" w:rsidRDefault="005E4D4F" w:rsidP="00227125"/>
    <w:p w:rsidR="005E4D4F" w:rsidRPr="005E4D4F" w:rsidRDefault="005E4D4F" w:rsidP="005E4D4F">
      <w:pPr>
        <w:pStyle w:val="Ueberschrift"/>
      </w:pPr>
      <w:r w:rsidRPr="005E4D4F">
        <w:t>Ergebnisse und Schlussfolgerungen</w:t>
      </w:r>
    </w:p>
    <w:p w:rsidR="005E4D4F" w:rsidRPr="005E4D4F" w:rsidRDefault="00F93526" w:rsidP="00227125">
      <w:r>
        <w:t>Allgemein zeigen die Ergebnisse zu den untersuchten Heimspeichersystemen, dass nur in wenigen Fällen</w:t>
      </w:r>
      <w:r w:rsidR="00375CED">
        <w:t xml:space="preserve"> </w:t>
      </w:r>
      <w:r>
        <w:t xml:space="preserve">eine betriebswirtschaftlich rentable </w:t>
      </w:r>
      <w:proofErr w:type="spellStart"/>
      <w:r>
        <w:t>Cashflowsituation</w:t>
      </w:r>
      <w:proofErr w:type="spellEnd"/>
      <w:r>
        <w:t xml:space="preserve"> erreicht werden kann. Dies liegt vor allem an den noch hohen Kosten</w:t>
      </w:r>
      <w:r w:rsidR="00375CED">
        <w:t xml:space="preserve"> </w:t>
      </w:r>
      <w:r w:rsidR="00375CED">
        <w:t>(unter Verwendung der Speicherpreise zum Projekt</w:t>
      </w:r>
      <w:r w:rsidR="00375CED">
        <w:t>start</w:t>
      </w:r>
      <w:r w:rsidR="00375CED">
        <w:t>zeitpunkt)</w:t>
      </w:r>
      <w:r>
        <w:t xml:space="preserve"> der Heimspeichersysteme im Vergleich zu den erreichbaren Erlösen. Beispielsweise zeigt folgende Abbildung die </w:t>
      </w:r>
      <w:proofErr w:type="spellStart"/>
      <w:r>
        <w:t>Cashflowbewertung</w:t>
      </w:r>
      <w:proofErr w:type="spellEnd"/>
      <w:r>
        <w:t xml:space="preserve"> von Heimspeichern in </w:t>
      </w:r>
      <w:proofErr w:type="spellStart"/>
      <w:r>
        <w:t>Köstendorf</w:t>
      </w:r>
      <w:proofErr w:type="spellEnd"/>
      <w:r w:rsidR="00A6619A">
        <w:t xml:space="preserve"> (3,6 kWh Nettokapazität)</w:t>
      </w:r>
      <w:r>
        <w:t>. Selbst bei maximalen Erlössituationen (hohe Eigenverbrauchssteigerung durch</w:t>
      </w:r>
      <w:r w:rsidR="00624F49">
        <w:t xml:space="preserve"> Speicher</w:t>
      </w:r>
      <w:r w:rsidR="00C30862">
        <w:t xml:space="preserve">einsatz (hohe jährliche </w:t>
      </w:r>
      <w:proofErr w:type="spellStart"/>
      <w:r w:rsidR="00C30862">
        <w:t>Zyklenanzahl</w:t>
      </w:r>
      <w:proofErr w:type="spellEnd"/>
      <w:r w:rsidR="00C30862">
        <w:t>)</w:t>
      </w:r>
      <w:r w:rsidR="00624F49">
        <w:t xml:space="preserve"> und Lastverschiebung für</w:t>
      </w:r>
      <w:r>
        <w:t xml:space="preserve"> hinterlegtes Verbrauchsprofil möglich) sind diskontierte </w:t>
      </w:r>
      <w:r w:rsidR="0005321C">
        <w:t>Verluste von durchschnittlich 266</w:t>
      </w:r>
      <w:r>
        <w:t xml:space="preserve"> € gegeben. </w:t>
      </w:r>
      <w:r w:rsidR="0005321C">
        <w:t xml:space="preserve">Ein Wechselrichtertausch wurde für Betriebsjahr 11 vorgesehen. </w:t>
      </w:r>
      <w:r>
        <w:t>Die linke Seite der Abbildung zeigt dabei ei</w:t>
      </w:r>
      <w:r w:rsidR="0005321C">
        <w:t xml:space="preserve">ne Erlösbandbreite zwischen 130 </w:t>
      </w:r>
      <w:r>
        <w:t>u</w:t>
      </w:r>
      <w:r w:rsidR="0005321C">
        <w:t>nd 230</w:t>
      </w:r>
      <w:r>
        <w:t xml:space="preserve"> € je Jahr. </w:t>
      </w:r>
    </w:p>
    <w:p w:rsidR="005E4D4F" w:rsidRDefault="005E4D4F" w:rsidP="00227125"/>
    <w:p w:rsidR="00624F49" w:rsidRDefault="00624F49" w:rsidP="00227125">
      <w:r>
        <w:t xml:space="preserve">Eine ähnliche Situation ergibt sich auch für zentrale Speicheranlagen. Selbst wenn die Kunden von solchen Anlagen bereit wären, gleiche Kosten wie für Heimspeicherlösungen in Kauf zu nehmen, wäre </w:t>
      </w:r>
      <w:r>
        <w:lastRenderedPageBreak/>
        <w:t xml:space="preserve">ein wirtschaftlicher Betrieb der zentralen Speicheranlage </w:t>
      </w:r>
      <w:r w:rsidR="003B46EE">
        <w:t>zu den gegebenen Preisen der Projektrealisierung nicht</w:t>
      </w:r>
      <w:r>
        <w:t xml:space="preserve"> möglich. Erst Zusatzerlöse durch den Einsatz des Speichers für netzdienliche Zwecke bzw. auch unterschiedliche Varianten der Tarifierung (z.B. Anwendung der tariflichen Regelung für </w:t>
      </w:r>
      <w:proofErr w:type="spellStart"/>
      <w:r>
        <w:t>Pumpsspeicherkraftwerke</w:t>
      </w:r>
      <w:proofErr w:type="spellEnd"/>
      <w:r>
        <w:t>) verbessern die betriebswirtschaftliche Performance. Entspreche</w:t>
      </w:r>
      <w:r w:rsidR="00C30862">
        <w:t>nd wird der Konferenzb</w:t>
      </w:r>
      <w:r>
        <w:t xml:space="preserve">eitrag </w:t>
      </w:r>
      <w:r w:rsidR="00C30862">
        <w:t xml:space="preserve">auch näher </w:t>
      </w:r>
      <w:r>
        <w:t xml:space="preserve">die Auswirkung unterschiedlicher </w:t>
      </w:r>
      <w:r w:rsidR="00C30862">
        <w:t>Parametervariatione</w:t>
      </w:r>
      <w:r w:rsidR="00375CED">
        <w:t xml:space="preserve">n (vor allem bezüglich </w:t>
      </w:r>
      <w:bookmarkStart w:id="0" w:name="_GoBack"/>
      <w:r w:rsidR="00375CED">
        <w:t xml:space="preserve">im </w:t>
      </w:r>
      <w:bookmarkEnd w:id="0"/>
      <w:r w:rsidR="00375CED">
        <w:t>Projektzeitraum beobachteter Preisreduktionen)</w:t>
      </w:r>
      <w:r w:rsidR="00C30862">
        <w:t xml:space="preserve"> sowohl für Heimspeichersystem</w:t>
      </w:r>
      <w:r w:rsidR="00A96862">
        <w:t>e</w:t>
      </w:r>
      <w:r w:rsidR="00C30862">
        <w:t xml:space="preserve"> als auch für den betrachteten zentralen Speicher behandeln.</w:t>
      </w:r>
    </w:p>
    <w:p w:rsidR="00C30862" w:rsidRDefault="00C30862" w:rsidP="00227125"/>
    <w:p w:rsidR="00803917" w:rsidRDefault="00A6619A" w:rsidP="00227125">
      <w:r w:rsidRPr="007016BB">
        <w:rPr>
          <w:noProof/>
        </w:rPr>
        <w:drawing>
          <wp:inline distT="0" distB="0" distL="0" distR="0">
            <wp:extent cx="5764530" cy="5629275"/>
            <wp:effectExtent l="0" t="0" r="0" b="0"/>
            <wp:docPr id="1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917" w:rsidRPr="002946B8" w:rsidRDefault="00803917" w:rsidP="00D53E86">
      <w:pPr>
        <w:pStyle w:val="Abbildungsbeschriftung"/>
      </w:pPr>
      <w:r w:rsidRPr="002946B8">
        <w:t xml:space="preserve">Abbildung 1: </w:t>
      </w:r>
      <w:r w:rsidR="00624F49">
        <w:t xml:space="preserve">Cashflow Ergebnisse für 3,6 kWh (Nettokapazität) Heimspeicheranlagen in </w:t>
      </w:r>
      <w:proofErr w:type="spellStart"/>
      <w:r w:rsidR="00624F49">
        <w:t>Köstendorf</w:t>
      </w:r>
      <w:proofErr w:type="spellEnd"/>
      <w:r w:rsidR="00624F49">
        <w:t xml:space="preserve"> für die Einsatzstrategie „Maximiere Eigenverbrauch“</w:t>
      </w:r>
    </w:p>
    <w:p w:rsidR="002946B8" w:rsidRPr="00803917" w:rsidRDefault="002946B8" w:rsidP="00227125"/>
    <w:p w:rsidR="005E4D4F" w:rsidRPr="005E4D4F" w:rsidRDefault="005E4D4F" w:rsidP="00A156E4">
      <w:pPr>
        <w:pStyle w:val="Ueberschrift"/>
      </w:pPr>
      <w:bookmarkStart w:id="1" w:name="_Toc26086066"/>
      <w:bookmarkStart w:id="2" w:name="_Toc68418491"/>
      <w:r w:rsidRPr="005E4D4F">
        <w:t>Literatur</w:t>
      </w:r>
      <w:bookmarkEnd w:id="1"/>
      <w:bookmarkEnd w:id="2"/>
    </w:p>
    <w:p w:rsidR="00AC71E0" w:rsidRDefault="00AC71E0" w:rsidP="00AC71E0">
      <w:r>
        <w:t xml:space="preserve">[1] </w:t>
      </w:r>
      <w:proofErr w:type="spellStart"/>
      <w:r>
        <w:t>Leonhartsberger</w:t>
      </w:r>
      <w:proofErr w:type="spellEnd"/>
      <w:r>
        <w:t xml:space="preserve">, K., 2017, Speicherrevolution managen: Wie können private Kleinspeicher ins Stromsystem integriert werden? Viktor Kaplan </w:t>
      </w:r>
      <w:proofErr w:type="spellStart"/>
      <w:r>
        <w:t>Lecture</w:t>
      </w:r>
      <w:proofErr w:type="spellEnd"/>
      <w:r>
        <w:t>, 7. Juni 2017, Fachhochschule Technikum Wien.</w:t>
      </w:r>
    </w:p>
    <w:p w:rsidR="00AC71E0" w:rsidRDefault="00AC71E0" w:rsidP="00AC71E0">
      <w:r>
        <w:t>[2]</w:t>
      </w:r>
      <w:r w:rsidRPr="00BB2789">
        <w:t xml:space="preserve"> </w:t>
      </w:r>
      <w:proofErr w:type="spellStart"/>
      <w:r>
        <w:t>Figgener</w:t>
      </w:r>
      <w:proofErr w:type="spellEnd"/>
      <w:r>
        <w:t xml:space="preserve"> J. et al., Wissenschaftliches Mess- und Evaluierungsprogramm Solarstromspeicher 2.0, Jahresbericht 2017, Online: </w:t>
      </w:r>
      <w:hyperlink r:id="rId8" w:history="1">
        <w:r w:rsidRPr="00AD5CDA">
          <w:rPr>
            <w:rStyle w:val="Hyperlink"/>
          </w:rPr>
          <w:t>http://www.speichermonitoring.de</w:t>
        </w:r>
      </w:hyperlink>
      <w:r>
        <w:t xml:space="preserve"> (Stand: 30.11.2017)</w:t>
      </w:r>
    </w:p>
    <w:p w:rsidR="005E4D4F" w:rsidRDefault="005E4D4F" w:rsidP="00227125">
      <w:pPr>
        <w:pStyle w:val="Literatur"/>
      </w:pPr>
    </w:p>
    <w:sectPr w:rsidR="005E4D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412" w:rsidRDefault="00401412">
      <w:r>
        <w:separator/>
      </w:r>
    </w:p>
  </w:endnote>
  <w:endnote w:type="continuationSeparator" w:id="0">
    <w:p w:rsidR="00401412" w:rsidRDefault="0040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412" w:rsidRDefault="00401412">
      <w:r>
        <w:separator/>
      </w:r>
    </w:p>
  </w:footnote>
  <w:footnote w:type="continuationSeparator" w:id="0">
    <w:p w:rsidR="00401412" w:rsidRDefault="00401412">
      <w:r>
        <w:continuationSeparator/>
      </w:r>
    </w:p>
  </w:footnote>
  <w:footnote w:id="1">
    <w:p w:rsidR="00D53E86" w:rsidRPr="00FB69AE" w:rsidRDefault="00D53E86" w:rsidP="002014D3">
      <w:r w:rsidRPr="00A115D2">
        <w:rPr>
          <w:rStyle w:val="Funotenzeichen"/>
        </w:rPr>
        <w:footnoteRef/>
      </w:r>
      <w:r w:rsidRPr="00D53E86">
        <w:t xml:space="preserve"> </w:t>
      </w:r>
      <w:r w:rsidR="00D74F8B" w:rsidRPr="00775455">
        <w:t xml:space="preserve">MOOSMOAR </w:t>
      </w:r>
      <w:proofErr w:type="spellStart"/>
      <w:r w:rsidR="00D74F8B" w:rsidRPr="00775455">
        <w:t>Energies</w:t>
      </w:r>
      <w:proofErr w:type="spellEnd"/>
      <w:r w:rsidR="00D74F8B" w:rsidRPr="00775455">
        <w:t xml:space="preserve"> OG</w:t>
      </w:r>
      <w:r w:rsidR="00D74F8B" w:rsidRPr="0097280D">
        <w:t xml:space="preserve">, </w:t>
      </w:r>
      <w:proofErr w:type="spellStart"/>
      <w:r w:rsidR="00D74F8B" w:rsidRPr="00960DE7">
        <w:t>Moosberg</w:t>
      </w:r>
      <w:proofErr w:type="spellEnd"/>
      <w:r w:rsidR="00D74F8B" w:rsidRPr="00960DE7">
        <w:t xml:space="preserve"> 10, 8960 </w:t>
      </w:r>
      <w:proofErr w:type="spellStart"/>
      <w:r w:rsidR="00D74F8B" w:rsidRPr="00960DE7">
        <w:t>Niederöblarn</w:t>
      </w:r>
      <w:proofErr w:type="spellEnd"/>
      <w:r w:rsidR="00D74F8B" w:rsidRPr="00960DE7">
        <w:t>, Austria</w:t>
      </w:r>
      <w:r w:rsidR="00D74F8B" w:rsidRPr="0097280D">
        <w:t xml:space="preserve">, </w:t>
      </w:r>
      <w:r w:rsidR="00D74F8B" w:rsidRPr="00775455">
        <w:t>+43 660 5026101</w:t>
      </w:r>
      <w:r w:rsidR="00D74F8B" w:rsidRPr="0097280D">
        <w:t xml:space="preserve">, </w:t>
      </w:r>
      <w:r w:rsidR="00D74F8B" w:rsidRPr="00775455">
        <w:t>w.prueggler@mmenergies.at</w:t>
      </w:r>
      <w:r w:rsidR="00D74F8B" w:rsidRPr="0097280D">
        <w:t xml:space="preserve">, </w:t>
      </w:r>
      <w:hyperlink r:id="rId1" w:history="1">
        <w:r w:rsidR="00D74F8B" w:rsidRPr="00AD5CDA">
          <w:rPr>
            <w:rStyle w:val="Hyperlink"/>
          </w:rPr>
          <w:t>www.mmenergies.at</w:t>
        </w:r>
      </w:hyperlink>
    </w:p>
  </w:footnote>
  <w:footnote w:id="2">
    <w:p w:rsidR="001E1AEB" w:rsidRPr="001E1AEB" w:rsidRDefault="001E1AEB" w:rsidP="001E1AEB">
      <w:r>
        <w:rPr>
          <w:rStyle w:val="Funotenzeichen"/>
        </w:rPr>
        <w:footnoteRef/>
      </w:r>
      <w:r>
        <w:t xml:space="preserve"> </w:t>
      </w:r>
      <w:r w:rsidR="00836F07">
        <w:t>Dieser</w:t>
      </w:r>
      <w:r w:rsidRPr="006B6FFD">
        <w:t xml:space="preserve"> </w:t>
      </w:r>
      <w:r>
        <w:t xml:space="preserve">Beitrag basiert auf dem Forschungsprojekt </w:t>
      </w:r>
      <w:r w:rsidRPr="006B6FFD">
        <w:t>"</w:t>
      </w:r>
      <w:r w:rsidRPr="006B6FFD">
        <w:rPr>
          <w:i/>
        </w:rPr>
        <w:t xml:space="preserve">LEAFS - Integration </w:t>
      </w:r>
      <w:proofErr w:type="spellStart"/>
      <w:r w:rsidRPr="006B6FFD">
        <w:rPr>
          <w:i/>
        </w:rPr>
        <w:t>of</w:t>
      </w:r>
      <w:proofErr w:type="spellEnd"/>
      <w:r w:rsidRPr="006B6FFD">
        <w:rPr>
          <w:i/>
        </w:rPr>
        <w:t xml:space="preserve"> Loads </w:t>
      </w:r>
      <w:proofErr w:type="spellStart"/>
      <w:r w:rsidRPr="006B6FFD">
        <w:rPr>
          <w:i/>
        </w:rPr>
        <w:t>and</w:t>
      </w:r>
      <w:proofErr w:type="spellEnd"/>
      <w:r w:rsidRPr="006B6FFD">
        <w:rPr>
          <w:i/>
        </w:rPr>
        <w:t xml:space="preserve"> </w:t>
      </w:r>
      <w:proofErr w:type="spellStart"/>
      <w:r w:rsidRPr="006B6FFD">
        <w:rPr>
          <w:i/>
        </w:rPr>
        <w:t>Electric</w:t>
      </w:r>
      <w:proofErr w:type="spellEnd"/>
      <w:r w:rsidRPr="006B6FFD">
        <w:rPr>
          <w:i/>
        </w:rPr>
        <w:t xml:space="preserve"> Storage Systems </w:t>
      </w:r>
      <w:proofErr w:type="spellStart"/>
      <w:r w:rsidRPr="006B6FFD">
        <w:rPr>
          <w:i/>
        </w:rPr>
        <w:t>into</w:t>
      </w:r>
      <w:proofErr w:type="spellEnd"/>
      <w:r w:rsidRPr="006B6FFD">
        <w:rPr>
          <w:i/>
        </w:rPr>
        <w:t xml:space="preserve"> </w:t>
      </w:r>
      <w:proofErr w:type="spellStart"/>
      <w:r w:rsidRPr="006B6FFD">
        <w:rPr>
          <w:i/>
        </w:rPr>
        <w:t>advanced</w:t>
      </w:r>
      <w:proofErr w:type="spellEnd"/>
      <w:r w:rsidRPr="006B6FFD">
        <w:rPr>
          <w:i/>
        </w:rPr>
        <w:t xml:space="preserve"> </w:t>
      </w:r>
      <w:proofErr w:type="spellStart"/>
      <w:r w:rsidRPr="006B6FFD">
        <w:rPr>
          <w:i/>
        </w:rPr>
        <w:t>Flexibility</w:t>
      </w:r>
      <w:proofErr w:type="spellEnd"/>
      <w:r w:rsidRPr="006B6FFD">
        <w:rPr>
          <w:i/>
        </w:rPr>
        <w:t xml:space="preserve"> </w:t>
      </w:r>
      <w:proofErr w:type="spellStart"/>
      <w:r w:rsidRPr="006B6FFD">
        <w:rPr>
          <w:i/>
        </w:rPr>
        <w:t>Schemes</w:t>
      </w:r>
      <w:proofErr w:type="spellEnd"/>
      <w:r w:rsidRPr="006B6FFD">
        <w:rPr>
          <w:i/>
        </w:rPr>
        <w:t xml:space="preserve"> </w:t>
      </w:r>
      <w:proofErr w:type="spellStart"/>
      <w:r w:rsidRPr="006B6FFD">
        <w:rPr>
          <w:i/>
        </w:rPr>
        <w:t>for</w:t>
      </w:r>
      <w:proofErr w:type="spellEnd"/>
      <w:r w:rsidRPr="006B6FFD">
        <w:rPr>
          <w:i/>
        </w:rPr>
        <w:t xml:space="preserve"> LV Networks</w:t>
      </w:r>
      <w:r w:rsidRPr="006B6FFD">
        <w:t>"</w:t>
      </w:r>
      <w:r>
        <w:t xml:space="preserve">. Das </w:t>
      </w:r>
      <w:r w:rsidRPr="006B6FFD">
        <w:t>Projekt</w:t>
      </w:r>
      <w:r>
        <w:t xml:space="preserve"> </w:t>
      </w:r>
      <w:r w:rsidRPr="006B6FFD">
        <w:rPr>
          <w:i/>
        </w:rPr>
        <w:t>LEAFS</w:t>
      </w:r>
      <w:r w:rsidRPr="006B6FFD">
        <w:t xml:space="preserve"> wird aus Mitteln des Klima- und Energiefonds gefördert und im Rahmen des Energieforschungsprogramms 2014 durchgeführt.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967"/>
    <w:multiLevelType w:val="multilevel"/>
    <w:tmpl w:val="0978BA90"/>
    <w:numStyleLink w:val="Aufzhlung"/>
  </w:abstractNum>
  <w:abstractNum w:abstractNumId="3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4F"/>
    <w:rsid w:val="00010E92"/>
    <w:rsid w:val="0005321C"/>
    <w:rsid w:val="00063D73"/>
    <w:rsid w:val="000B2828"/>
    <w:rsid w:val="000C5608"/>
    <w:rsid w:val="001E1AEB"/>
    <w:rsid w:val="002014D3"/>
    <w:rsid w:val="00227125"/>
    <w:rsid w:val="00262FD5"/>
    <w:rsid w:val="002946B8"/>
    <w:rsid w:val="00350F98"/>
    <w:rsid w:val="00375CED"/>
    <w:rsid w:val="003B46EE"/>
    <w:rsid w:val="003B676F"/>
    <w:rsid w:val="003C28FE"/>
    <w:rsid w:val="00401412"/>
    <w:rsid w:val="00483B87"/>
    <w:rsid w:val="005B1ADB"/>
    <w:rsid w:val="005E4D4F"/>
    <w:rsid w:val="00624F49"/>
    <w:rsid w:val="00736605"/>
    <w:rsid w:val="007378C8"/>
    <w:rsid w:val="00741EC0"/>
    <w:rsid w:val="007559A7"/>
    <w:rsid w:val="00803917"/>
    <w:rsid w:val="00836F07"/>
    <w:rsid w:val="00A07737"/>
    <w:rsid w:val="00A156E4"/>
    <w:rsid w:val="00A6148D"/>
    <w:rsid w:val="00A6619A"/>
    <w:rsid w:val="00A96862"/>
    <w:rsid w:val="00AC71E0"/>
    <w:rsid w:val="00BF05FA"/>
    <w:rsid w:val="00C30862"/>
    <w:rsid w:val="00CE1A70"/>
    <w:rsid w:val="00D24FA5"/>
    <w:rsid w:val="00D53E86"/>
    <w:rsid w:val="00D736F8"/>
    <w:rsid w:val="00D74F8B"/>
    <w:rsid w:val="00E520E6"/>
    <w:rsid w:val="00E723B7"/>
    <w:rsid w:val="00F93526"/>
    <w:rsid w:val="00FB69AE"/>
    <w:rsid w:val="00FD5D56"/>
    <w:rsid w:val="00FE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851DF"/>
  <w15:chartTrackingRefBased/>
  <w15:docId w15:val="{C885A570-A3E4-C543-9ACB-26D995E0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val="de-DE"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styleId="Hyperlink">
    <w:name w:val="Hyperlink"/>
    <w:uiPriority w:val="99"/>
    <w:unhideWhenUsed/>
    <w:rsid w:val="00AC71E0"/>
    <w:rPr>
      <w:color w:val="0000FF"/>
      <w:u w:val="singl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E1AEB"/>
    <w:rPr>
      <w:szCs w:val="20"/>
    </w:rPr>
  </w:style>
  <w:style w:type="character" w:customStyle="1" w:styleId="FunotentextZchn">
    <w:name w:val="Fußnotentext Zchn"/>
    <w:link w:val="Funotentext"/>
    <w:uiPriority w:val="99"/>
    <w:semiHidden/>
    <w:rsid w:val="001E1AEB"/>
    <w:rPr>
      <w:rFonts w:ascii="Arial" w:hAnsi="Arial"/>
      <w:lang w:val="de-DE" w:eastAsia="ko-KR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ichermonitoring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nergies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4686</CharactersWithSpaces>
  <SharedDoc>false</SharedDoc>
  <HLinks>
    <vt:vector size="12" baseType="variant"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http://www.speichermonitoring.de/</vt:lpwstr>
      </vt:variant>
      <vt:variant>
        <vt:lpwstr/>
      </vt:variant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http://www.mmenergies.at/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Wolfgang Prüggler</cp:lastModifiedBy>
  <cp:revision>4</cp:revision>
  <dcterms:created xsi:type="dcterms:W3CDTF">2019-01-17T15:35:00Z</dcterms:created>
  <dcterms:modified xsi:type="dcterms:W3CDTF">2019-01-17T15:45:00Z</dcterms:modified>
</cp:coreProperties>
</file>