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2E39" w14:textId="77777777" w:rsidR="00394FD0" w:rsidRPr="00701C88" w:rsidRDefault="00FC27A0" w:rsidP="00701C88">
      <w:pPr>
        <w:pStyle w:val="AutorenOrganisation"/>
        <w:rPr>
          <w:b/>
          <w:sz w:val="32"/>
          <w:lang w:val="de-DE"/>
        </w:rPr>
      </w:pPr>
      <w:r w:rsidRPr="00701C88">
        <w:rPr>
          <w:b/>
          <w:sz w:val="32"/>
          <w:lang w:val="de-DE"/>
        </w:rPr>
        <w:t>Einbindung von Solarthermie in den intermittierenden</w:t>
      </w:r>
      <w:r w:rsidR="005A65C1">
        <w:rPr>
          <w:b/>
          <w:sz w:val="32"/>
          <w:lang w:val="de-DE"/>
        </w:rPr>
        <w:t>, temperaturflexiblen</w:t>
      </w:r>
      <w:r w:rsidRPr="00701C88">
        <w:rPr>
          <w:b/>
          <w:sz w:val="32"/>
          <w:lang w:val="de-DE"/>
        </w:rPr>
        <w:t xml:space="preserve"> Betrieb von Nahwärmenetzen</w:t>
      </w:r>
    </w:p>
    <w:p w14:paraId="35692ACE" w14:textId="77777777" w:rsidR="00FC27A0" w:rsidRPr="00701C88" w:rsidRDefault="002132B4" w:rsidP="00701C88">
      <w:pPr>
        <w:pStyle w:val="AutorenOrganisation"/>
      </w:pPr>
      <w:r w:rsidRPr="002132B4">
        <w:t>2. Strom</w:t>
      </w:r>
      <w:r w:rsidR="00FC27A0" w:rsidRPr="002132B4">
        <w:t>, Wärme</w:t>
      </w:r>
      <w:r w:rsidRPr="002132B4">
        <w:t>erzeugung sowie Speic</w:t>
      </w:r>
      <w:bookmarkStart w:id="0" w:name="_GoBack"/>
      <w:bookmarkEnd w:id="0"/>
      <w:r w:rsidRPr="002132B4">
        <w:t>her</w:t>
      </w:r>
    </w:p>
    <w:p w14:paraId="568DFFFD" w14:textId="77777777" w:rsidR="00E02134" w:rsidRPr="00701C88" w:rsidRDefault="00701C88" w:rsidP="00E02134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</w:pP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Andreas HAMMER</w:t>
      </w: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footnoteReference w:id="1"/>
      </w: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(1)</w:t>
      </w: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, Christoph S</w:t>
      </w:r>
      <w:r w:rsidR="00BB6E6A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EJKORA</w:t>
      </w: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(1)</w:t>
      </w:r>
      <w:r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, </w:t>
      </w:r>
      <w:r w:rsidR="00E02134" w:rsidRPr="00644F11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Johann JUNGWIRTH</w:t>
      </w:r>
      <w:r w:rsidR="00E02134" w:rsidRPr="007C7605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(2)</w:t>
      </w:r>
    </w:p>
    <w:p w14:paraId="1E9C0278" w14:textId="7F51AFCC" w:rsidR="00701C88" w:rsidRPr="00644F11" w:rsidRDefault="00E02134" w:rsidP="00701C8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</w:pP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Horst </w:t>
      </w:r>
      <w:proofErr w:type="gramStart"/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STRIESSNIG</w:t>
      </w: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</w:t>
      </w:r>
      <w:proofErr w:type="gramEnd"/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3)</w:t>
      </w: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, </w:t>
      </w: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Harald KAUFMANN</w:t>
      </w: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(3)</w:t>
      </w:r>
      <w:r>
        <w:rPr>
          <w:lang w:val="en-US"/>
        </w:rPr>
        <w:t xml:space="preserve">, </w:t>
      </w:r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Thomas KIENBERGER</w:t>
      </w:r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(1)</w:t>
      </w:r>
      <w:r w:rsidR="007C7605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 </w:t>
      </w:r>
    </w:p>
    <w:p w14:paraId="62178311" w14:textId="5DB626B8" w:rsidR="00701C88" w:rsidRDefault="00E02134" w:rsidP="00701C8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</w:pPr>
      <w:r w:rsidRPr="00644F11" w:rsidDel="00E02134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 </w:t>
      </w:r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</w:t>
      </w:r>
      <w:proofErr w:type="gramStart"/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1)</w:t>
      </w:r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Lehrstuhl</w:t>
      </w:r>
      <w:proofErr w:type="gramEnd"/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 für Energie</w:t>
      </w:r>
      <w:r w:rsidR="004211B0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verbundtechnik, </w:t>
      </w:r>
      <w:proofErr w:type="spellStart"/>
      <w:r w:rsidR="004211B0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Montanuniversiä</w:t>
      </w:r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t</w:t>
      </w:r>
      <w:proofErr w:type="spellEnd"/>
      <w:r w:rsidR="00701C88" w:rsidRPr="00701C88"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 Leoben</w:t>
      </w:r>
    </w:p>
    <w:p w14:paraId="2F8B96DF" w14:textId="7BD218CC" w:rsidR="007C7605" w:rsidRDefault="007C7605" w:rsidP="00701C8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</w:pPr>
      <w:r w:rsidRPr="00F8161A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</w:t>
      </w:r>
      <w:proofErr w:type="gramStart"/>
      <w:r w:rsidRPr="00F8161A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2)</w:t>
      </w:r>
      <w:r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Lehrstuhl</w:t>
      </w:r>
      <w:proofErr w:type="gramEnd"/>
      <w:r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 xml:space="preserve"> für Wirtschafts- und Betriebswissenschaften, Montanuniversität Leoben</w:t>
      </w:r>
    </w:p>
    <w:p w14:paraId="460E3555" w14:textId="0EB40111" w:rsidR="00E02134" w:rsidRPr="00701C88" w:rsidRDefault="00E02134" w:rsidP="00701C8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</w:pPr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(</w:t>
      </w:r>
      <w:proofErr w:type="gramStart"/>
      <w:r w:rsidRPr="00E02134">
        <w:rPr>
          <w:rFonts w:ascii="Arial" w:eastAsia="Times New Roman" w:hAnsi="Arial" w:cs="Arial"/>
          <w:color w:val="181512"/>
          <w:spacing w:val="-5"/>
          <w:sz w:val="24"/>
          <w:szCs w:val="24"/>
          <w:vertAlign w:val="superscript"/>
          <w:lang w:eastAsia="de-DE"/>
        </w:rPr>
        <w:t>3)</w:t>
      </w:r>
      <w:r>
        <w:rPr>
          <w:rFonts w:ascii="Arial" w:eastAsia="Times New Roman" w:hAnsi="Arial" w:cs="Arial"/>
          <w:color w:val="181512"/>
          <w:spacing w:val="-5"/>
          <w:sz w:val="24"/>
          <w:szCs w:val="24"/>
          <w:lang w:eastAsia="de-DE"/>
        </w:rPr>
        <w:t>Nahwaerme.at</w:t>
      </w:r>
      <w:proofErr w:type="gramEnd"/>
    </w:p>
    <w:p w14:paraId="3B0C1C56" w14:textId="77777777" w:rsidR="00701C88" w:rsidRPr="00701C88" w:rsidRDefault="00701C88" w:rsidP="00701C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ko-KR"/>
        </w:rPr>
      </w:pPr>
    </w:p>
    <w:p w14:paraId="5AA7DE11" w14:textId="77777777" w:rsidR="00FC27A0" w:rsidRPr="00701C88" w:rsidRDefault="00FC27A0" w:rsidP="00701C88">
      <w:pPr>
        <w:pStyle w:val="Ueberschrift"/>
      </w:pPr>
      <w:r w:rsidRPr="00FC27A0">
        <w:t>Motivation und zentrale Fragestellung</w:t>
      </w:r>
    </w:p>
    <w:p w14:paraId="463EFED5" w14:textId="77777777" w:rsidR="00644F11" w:rsidRDefault="00FC27A0" w:rsidP="004C5D1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Die Verluste von Nahwärmenetzen stellen einen der wesentlichsten Faktoren zu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deren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Wirtschaftlichkeit und Nachhaltigkeit dar. Bei neu errichteten Nahwärmenetzen 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>kann</w:t>
      </w:r>
      <w:r w:rsidR="009B248D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durch Maßnahmen wie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der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Erhöhung der Wärmebedarfsdichte, 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>der</w:t>
      </w:r>
      <w:r w:rsidR="009B248D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Verringerung der Leitungsquerschnitte oder eine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>r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verbesserte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>n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Rohleitungsdämmung eine Senkung der Verluste erreicht werden. </w:t>
      </w:r>
    </w:p>
    <w:p w14:paraId="74FF0F4F" w14:textId="23245DC4" w:rsidR="00FC27A0" w:rsidRPr="00701C88" w:rsidRDefault="00172102" w:rsidP="004C5D1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In einem ersten Projektteil wurden die hohen Verluste im Schwachlastbetrieb des Sommers</w:t>
      </w:r>
      <w:r w:rsidR="004C5D13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dadurch verringert, </w:t>
      </w:r>
      <w:r w:rsidRPr="00172102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indem das Netz in Schwachlastzeiten abschaltet und der Wärmebedarf der Kunden aus zuvor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mit Volllast </w:t>
      </w:r>
      <w:r w:rsidRPr="00172102">
        <w:rPr>
          <w:rFonts w:ascii="Arial" w:eastAsia="Times New Roman" w:hAnsi="Arial" w:cs="Times New Roman"/>
          <w:sz w:val="20"/>
          <w:szCs w:val="24"/>
          <w:lang w:val="de-DE" w:eastAsia="ko-KR"/>
        </w:rPr>
        <w:t>geladenen dezentralen Speichern bedient wird.</w:t>
      </w:r>
      <w:r w:rsidR="004C5D13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Dadurch w</w:t>
      </w:r>
      <w:r w:rsidR="00217B20">
        <w:rPr>
          <w:rFonts w:ascii="Arial" w:eastAsia="Times New Roman" w:hAnsi="Arial" w:cs="Times New Roman"/>
          <w:sz w:val="20"/>
          <w:szCs w:val="24"/>
          <w:lang w:val="de-DE" w:eastAsia="ko-KR"/>
        </w:rPr>
        <w:t>ird</w:t>
      </w:r>
      <w:r w:rsidR="004C5D13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die </w:t>
      </w:r>
      <w:r w:rsidR="00217B20">
        <w:rPr>
          <w:rFonts w:ascii="Arial" w:eastAsia="Times New Roman" w:hAnsi="Arial" w:cs="Times New Roman"/>
          <w:sz w:val="20"/>
          <w:szCs w:val="24"/>
          <w:lang w:val="de-DE" w:eastAsia="ko-KR"/>
        </w:rPr>
        <w:t>Zeit</w:t>
      </w:r>
      <w:r w:rsidR="004C5D13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, in denen das Netz mit schwacher Last betrieben wird, reduziert. Mit dieser Fahrweise konnte </w:t>
      </w:r>
      <w:r w:rsidR="0028260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eine R</w:t>
      </w:r>
      <w:r w:rsidR="00185F18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eduktion der </w:t>
      </w:r>
      <w:r w:rsidR="00D55FD5">
        <w:rPr>
          <w:rFonts w:ascii="Arial" w:eastAsia="Times New Roman" w:hAnsi="Arial" w:cs="Times New Roman"/>
          <w:sz w:val="20"/>
          <w:szCs w:val="24"/>
          <w:lang w:val="de-DE" w:eastAsia="ko-KR"/>
        </w:rPr>
        <w:t>aufzuwendenden Energie</w:t>
      </w:r>
      <w:r w:rsidR="00717B66">
        <w:rPr>
          <w:rFonts w:ascii="Arial" w:eastAsia="Times New Roman" w:hAnsi="Arial" w:cs="Times New Roman"/>
          <w:sz w:val="20"/>
          <w:szCs w:val="24"/>
          <w:lang w:val="de-DE" w:eastAsia="ko-KR"/>
        </w:rPr>
        <w:t>menge</w:t>
      </w:r>
      <w:r w:rsidR="00D55FD5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>im Ausmaß von rund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5-6 %</w:t>
      </w:r>
      <w:r w:rsidR="009B248D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185F18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erreic</w:t>
      </w:r>
      <w:r w:rsidR="0028260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ht</w:t>
      </w:r>
      <w:r w:rsidR="00D55F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[1]</w:t>
      </w:r>
      <w:r w:rsidR="0028260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. </w:t>
      </w:r>
    </w:p>
    <w:p w14:paraId="77FB416E" w14:textId="48CD6D6C" w:rsidR="00185F18" w:rsidRDefault="00BE49D2" w:rsidP="00701C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Darauf aufbauend soll in dieser Arbeit </w:t>
      </w:r>
      <w:r w:rsidR="00185F18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die Frage beantwortet werden, </w:t>
      </w:r>
      <w:r w:rsidR="00792147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wie weit sich </w:t>
      </w:r>
      <w:r w:rsidR="00185F18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die </w:t>
      </w:r>
      <w:r w:rsidR="006A2F06">
        <w:rPr>
          <w:rFonts w:ascii="Arial" w:eastAsia="Times New Roman" w:hAnsi="Arial" w:cs="Times New Roman"/>
          <w:sz w:val="20"/>
          <w:szCs w:val="24"/>
          <w:lang w:val="de-DE" w:eastAsia="ko-KR"/>
        </w:rPr>
        <w:t>für die Netzeinspeisung aufzuwendende Energie</w:t>
      </w:r>
      <w:r w:rsidR="00185F18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in</w:t>
      </w:r>
      <w:r w:rsidR="00065BC1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792147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einem intermittierenden, t</w:t>
      </w:r>
      <w:r w:rsidR="00F1057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emperaturflexiblen Betrieb von Nahwärmenetzen durch </w:t>
      </w:r>
      <w:r w:rsidR="00792147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zusätzliche Einbindung von Solarthermie in die dezentralen Speicher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weiter</w:t>
      </w:r>
      <w:r w:rsidR="00065BC1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792147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senken l</w:t>
      </w:r>
      <w:r w:rsidR="00217B20">
        <w:rPr>
          <w:rFonts w:ascii="Arial" w:eastAsia="Times New Roman" w:hAnsi="Arial" w:cs="Times New Roman"/>
          <w:sz w:val="20"/>
          <w:szCs w:val="24"/>
          <w:lang w:val="de-DE" w:eastAsia="ko-KR"/>
        </w:rPr>
        <w:t>ässt</w:t>
      </w:r>
      <w:r w:rsidR="00792147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</w:p>
    <w:p w14:paraId="7D0A235A" w14:textId="77777777" w:rsidR="00701C88" w:rsidRPr="00701C88" w:rsidRDefault="00701C88" w:rsidP="00701C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</w:p>
    <w:p w14:paraId="08FB206C" w14:textId="77777777" w:rsidR="00185F18" w:rsidRPr="00701C88" w:rsidRDefault="002F1183" w:rsidP="00701C88">
      <w:pPr>
        <w:pStyle w:val="Ueberschrift"/>
      </w:pPr>
      <w:r w:rsidRPr="002F1183">
        <w:t>Methodische Vorgangsweise</w:t>
      </w:r>
    </w:p>
    <w:p w14:paraId="251771EE" w14:textId="1DC90B4E" w:rsidR="002F1183" w:rsidRPr="00701C88" w:rsidRDefault="002F1183" w:rsidP="00701C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Für die Untersuchung dieser Fragestellung wurden </w:t>
      </w:r>
      <w:r w:rsidR="00F565E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zwei repräsentative Nahwärmenetze ausgewählt, wie sie </w:t>
      </w:r>
      <w:r w:rsidR="00065BC1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in ähnlichen </w:t>
      </w:r>
      <w:r w:rsidR="00F565EE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Kon</w:t>
      </w:r>
      <w:r w:rsidR="00132F1B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stellationen </w:t>
      </w:r>
      <w:r w:rsidR="0047398D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häufig </w:t>
      </w:r>
      <w:r w:rsidR="00132F1B"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vorliegen, um die Übertragung der Erkenntnisse und Überlegungen auch auf möglichst viele andere sich in Betrieb befindliche Netze zu ermöglichen.</w:t>
      </w:r>
    </w:p>
    <w:p w14:paraId="0F7A6EC3" w14:textId="4418A423" w:rsidR="00166A5E" w:rsidRDefault="0022728F" w:rsidP="00166A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Für die Netzberechnung wurde die kommerzielle Netzberechnungssoftware PSS </w:t>
      </w:r>
      <w:proofErr w:type="spellStart"/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>Sincal</w:t>
      </w:r>
      <w:proofErr w:type="spellEnd"/>
      <w:r w:rsidR="009A5D5F">
        <w:rPr>
          <w:rFonts w:ascii="Arial" w:eastAsia="Times New Roman" w:hAnsi="Arial" w:cs="Arial"/>
          <w:sz w:val="20"/>
          <w:szCs w:val="24"/>
          <w:lang w:val="de-DE" w:eastAsia="ko-KR"/>
        </w:rPr>
        <w:t>®</w:t>
      </w:r>
      <w:r w:rsidRPr="00701C88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9A5D5F">
        <w:rPr>
          <w:rFonts w:ascii="Arial" w:eastAsia="Times New Roman" w:hAnsi="Arial" w:cs="Times New Roman"/>
          <w:sz w:val="20"/>
          <w:szCs w:val="24"/>
          <w:lang w:val="de-DE" w:eastAsia="ko-KR"/>
        </w:rPr>
        <w:t>verwendet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  <w:r w:rsidR="00166A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N</w:t>
      </w:r>
      <w:r w:rsidR="00166A5E"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eben der Netzstruktur,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der </w:t>
      </w:r>
      <w:r w:rsidR="00166A5E"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Rohrmaterialien und Rohrdimensionen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wurden </w:t>
      </w:r>
      <w:r w:rsidR="00166A5E">
        <w:rPr>
          <w:rFonts w:ascii="Arial" w:eastAsia="Times New Roman" w:hAnsi="Arial" w:cs="Times New Roman"/>
          <w:sz w:val="20"/>
          <w:szCs w:val="24"/>
          <w:lang w:val="de-DE" w:eastAsia="ko-KR"/>
        </w:rPr>
        <w:t>die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,</w:t>
      </w:r>
      <w:r w:rsidR="00166A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in stündlicher Zeitreihenauflösung vorliegenden Verbrauchsdaten der Wärmekunden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in das aufgebaute Netzmodell</w:t>
      </w:r>
      <w:r w:rsidR="00166A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>integriert.</w:t>
      </w:r>
    </w:p>
    <w:p w14:paraId="66F7E443" w14:textId="0CEC70E2" w:rsidR="001B3505" w:rsidRPr="009A5D5F" w:rsidRDefault="001B3505" w:rsidP="001B350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>Mit dieser</w:t>
      </w:r>
      <w:r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Anordnung</w:t>
      </w: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konnte die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Realdaten-</w:t>
      </w: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Validierung der Modelle für beide Netze durchgeführt werden, wobei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dabei</w:t>
      </w:r>
      <w:r w:rsidR="00065BC1"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>Lastkurvenverläufe und die simulierte Energiemenge mit jenem des Netzeingangszähler verglichen wurde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065BC1">
        <w:rPr>
          <w:rFonts w:ascii="Arial" w:eastAsia="Times New Roman" w:hAnsi="Arial" w:cs="Times New Roman"/>
          <w:sz w:val="20"/>
          <w:szCs w:val="24"/>
          <w:lang w:val="de-DE" w:eastAsia="ko-KR"/>
        </w:rPr>
        <w:t>G</w:t>
      </w:r>
      <w:r w:rsidRPr="009A5D5F">
        <w:rPr>
          <w:rFonts w:ascii="Arial" w:eastAsia="Times New Roman" w:hAnsi="Arial" w:cs="Times New Roman"/>
          <w:sz w:val="20"/>
          <w:szCs w:val="24"/>
          <w:lang w:val="de-DE" w:eastAsia="ko-KR"/>
        </w:rPr>
        <w:t>egebenenfalls erfolgte eine Anpassung von Parametern wie spezifische Rohrverluste oder Bodentemperatur.</w:t>
      </w:r>
    </w:p>
    <w:p w14:paraId="4EFCCBBC" w14:textId="61B4C93A" w:rsidR="001B3505" w:rsidRDefault="00B35158" w:rsidP="001B350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Die Ermittlung der</w:t>
      </w:r>
      <w:r w:rsidR="00F367B9">
        <w:rPr>
          <w:rFonts w:ascii="Arial" w:eastAsia="Times New Roman" w:hAnsi="Arial" w:cs="Times New Roman"/>
          <w:sz w:val="20"/>
          <w:szCs w:val="24"/>
          <w:lang w:val="de-DE" w:eastAsia="ko-KR"/>
        </w:rPr>
        <w:t>, über geeignete Dachflächen zugeführten,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zeitaufgelösten solaren Erträge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, welche 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>als Wärmequellen eingebunden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wurden,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erfolgte mit den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Einstrahlungsdaten </w:t>
      </w:r>
      <w:r w:rsidR="001B3505"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>der Zentralanstal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t für Meteorologie und Geodynamik</w:t>
      </w:r>
      <w:r w:rsidR="001B3505"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(ZAMG)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über das</w:t>
      </w:r>
      <w:r w:rsidR="001B3505"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Einstrahlungsmodell vo</w:t>
      </w:r>
      <w:r w:rsidR="002132B4">
        <w:rPr>
          <w:rFonts w:ascii="Arial" w:eastAsia="Times New Roman" w:hAnsi="Arial" w:cs="Times New Roman"/>
          <w:sz w:val="20"/>
          <w:szCs w:val="24"/>
          <w:lang w:val="de-DE" w:eastAsia="ko-KR"/>
        </w:rPr>
        <w:t>n Perez [</w:t>
      </w:r>
      <w:r w:rsidR="00D55FD5">
        <w:rPr>
          <w:rFonts w:ascii="Arial" w:eastAsia="Times New Roman" w:hAnsi="Arial" w:cs="Times New Roman"/>
          <w:sz w:val="20"/>
          <w:szCs w:val="24"/>
          <w:lang w:val="de-DE" w:eastAsia="ko-KR"/>
        </w:rPr>
        <w:t>2</w:t>
      </w:r>
      <w:r w:rsidR="002132B4">
        <w:rPr>
          <w:rFonts w:ascii="Arial" w:eastAsia="Times New Roman" w:hAnsi="Arial" w:cs="Times New Roman"/>
          <w:sz w:val="20"/>
          <w:szCs w:val="24"/>
          <w:lang w:val="de-DE" w:eastAsia="ko-KR"/>
        </w:rPr>
        <w:t>]</w:t>
      </w:r>
      <w:r w:rsidR="00F367B9">
        <w:rPr>
          <w:rFonts w:ascii="Arial" w:eastAsia="Times New Roman" w:hAnsi="Arial" w:cs="Times New Roman"/>
          <w:sz w:val="20"/>
          <w:szCs w:val="24"/>
          <w:lang w:val="de-DE" w:eastAsia="ko-KR"/>
        </w:rPr>
        <w:t>. Dabei wurden</w:t>
      </w:r>
      <w:r w:rsidR="001B3505"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Kollektorken</w:t>
      </w:r>
      <w:r w:rsidR="001B3505">
        <w:rPr>
          <w:rFonts w:ascii="Arial" w:eastAsia="Times New Roman" w:hAnsi="Arial" w:cs="Times New Roman"/>
          <w:sz w:val="20"/>
          <w:szCs w:val="24"/>
          <w:lang w:val="de-DE" w:eastAsia="ko-KR"/>
        </w:rPr>
        <w:t>nlinien und Außentemperaturen</w:t>
      </w:r>
      <w:r w:rsidR="00F367B9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berücksichtigt</w:t>
      </w:r>
      <w:r w:rsidR="001B3505" w:rsidRPr="001B3505"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</w:p>
    <w:p w14:paraId="5320CCA1" w14:textId="2580C723" w:rsidR="000C0E00" w:rsidRDefault="000C0E00" w:rsidP="009A5D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0C0E00">
        <w:rPr>
          <w:rFonts w:ascii="Arial" w:eastAsia="Times New Roman" w:hAnsi="Arial" w:cs="Times New Roman"/>
          <w:sz w:val="20"/>
          <w:szCs w:val="24"/>
          <w:lang w:val="de-DE" w:eastAsia="ko-KR"/>
        </w:rPr>
        <w:t>Beim Gesamtmodell mit Einbindung der Speicher und der solaren Erträge kam eine Kombination von PSS </w:t>
      </w:r>
      <w:proofErr w:type="spellStart"/>
      <w:r w:rsidRPr="000C0E00">
        <w:rPr>
          <w:rFonts w:ascii="Arial" w:eastAsia="Times New Roman" w:hAnsi="Arial" w:cs="Times New Roman"/>
          <w:sz w:val="20"/>
          <w:szCs w:val="24"/>
          <w:lang w:val="de-DE" w:eastAsia="ko-KR"/>
        </w:rPr>
        <w:t>Sincal</w:t>
      </w:r>
      <w:proofErr w:type="spellEnd"/>
      <w:r w:rsidRPr="000C0E00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® mit </w:t>
      </w:r>
      <w:proofErr w:type="spellStart"/>
      <w:r w:rsidRPr="000C0E00">
        <w:rPr>
          <w:rFonts w:ascii="Arial" w:eastAsia="Times New Roman" w:hAnsi="Arial" w:cs="Times New Roman"/>
          <w:sz w:val="20"/>
          <w:szCs w:val="24"/>
          <w:lang w:val="de-DE" w:eastAsia="ko-KR"/>
        </w:rPr>
        <w:t>Matlab</w:t>
      </w:r>
      <w:proofErr w:type="spellEnd"/>
      <w:r w:rsidRPr="000C0E00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® zur Anwendung. </w:t>
      </w:r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Dabei wurde von </w:t>
      </w:r>
      <w:proofErr w:type="spellStart"/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>Matlab</w:t>
      </w:r>
      <w:proofErr w:type="spellEnd"/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® die Steuerung </w:t>
      </w:r>
      <w:r w:rsidR="005E2E63">
        <w:rPr>
          <w:rFonts w:ascii="Arial" w:eastAsia="Times New Roman" w:hAnsi="Arial" w:cs="Times New Roman"/>
          <w:sz w:val="20"/>
          <w:szCs w:val="24"/>
          <w:lang w:val="de-DE" w:eastAsia="ko-KR"/>
        </w:rPr>
        <w:t>des</w:t>
      </w:r>
      <w:r w:rsidR="005E2E63"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>Entladen</w:t>
      </w:r>
      <w:r w:rsidR="005E2E63">
        <w:rPr>
          <w:rFonts w:ascii="Arial" w:eastAsia="Times New Roman" w:hAnsi="Arial" w:cs="Times New Roman"/>
          <w:sz w:val="20"/>
          <w:szCs w:val="24"/>
          <w:lang w:val="de-DE" w:eastAsia="ko-KR"/>
        </w:rPr>
        <w:t>s</w:t>
      </w:r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und Laden</w:t>
      </w:r>
      <w:r w:rsidR="005E2E63">
        <w:rPr>
          <w:rFonts w:ascii="Arial" w:eastAsia="Times New Roman" w:hAnsi="Arial" w:cs="Times New Roman"/>
          <w:sz w:val="20"/>
          <w:szCs w:val="24"/>
          <w:lang w:val="de-DE" w:eastAsia="ko-KR"/>
        </w:rPr>
        <w:t>s,</w:t>
      </w:r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bzw. das Ein- und Ausschalten des Netzes übernommen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als auch die prioritäre Einbindung der solaren Erträge</w:t>
      </w:r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. Das Speichermanagement und die Bilanzierung in den Speichern selbst wurde ebenfalls in </w:t>
      </w:r>
      <w:proofErr w:type="spellStart"/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>Matlab</w:t>
      </w:r>
      <w:proofErr w:type="spellEnd"/>
      <w:r w:rsidRPr="003C2E3F">
        <w:rPr>
          <w:rFonts w:ascii="Arial" w:eastAsia="Times New Roman" w:hAnsi="Arial" w:cs="Times New Roman"/>
          <w:sz w:val="20"/>
          <w:szCs w:val="24"/>
          <w:lang w:val="de-DE" w:eastAsia="ko-KR"/>
        </w:rPr>
        <w:t>® mittels eines Plug Flow Model durchgeführt.</w:t>
      </w:r>
    </w:p>
    <w:p w14:paraId="2C571475" w14:textId="77777777" w:rsidR="00762E26" w:rsidRDefault="00762E26">
      <w:pPr>
        <w:rPr>
          <w:lang w:val="de-DE"/>
        </w:rPr>
      </w:pPr>
    </w:p>
    <w:p w14:paraId="23B8896C" w14:textId="77777777" w:rsidR="00762E26" w:rsidRPr="00424EFB" w:rsidRDefault="00762E26" w:rsidP="00424EFB">
      <w:pPr>
        <w:pStyle w:val="Ueberschrift"/>
      </w:pPr>
      <w:r w:rsidRPr="00762E26">
        <w:t>Ergebnisse und Schlussfolgerungen</w:t>
      </w:r>
    </w:p>
    <w:p w14:paraId="797CC18F" w14:textId="4BD146A9" w:rsidR="00D42A2E" w:rsidRDefault="00095FC7" w:rsidP="00EA63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Bei den Simulationen wurden </w:t>
      </w:r>
      <w:r w:rsidR="005040EF">
        <w:rPr>
          <w:rFonts w:ascii="Arial" w:eastAsia="Times New Roman" w:hAnsi="Arial" w:cs="Times New Roman"/>
          <w:sz w:val="20"/>
          <w:szCs w:val="24"/>
          <w:lang w:val="de-DE" w:eastAsia="ko-KR"/>
        </w:rPr>
        <w:t>jene Speichergrößen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pro Verbraucher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(Einzelspeicher) 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>oder Verbrauchergr</w:t>
      </w:r>
      <w:r w:rsidR="005040E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uppe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(Cluster-Speicher) </w:t>
      </w:r>
      <w:r w:rsidR="005040EF">
        <w:rPr>
          <w:rFonts w:ascii="Arial" w:eastAsia="Times New Roman" w:hAnsi="Arial" w:cs="Times New Roman"/>
          <w:sz w:val="20"/>
          <w:szCs w:val="24"/>
          <w:lang w:val="de-DE" w:eastAsia="ko-KR"/>
        </w:rPr>
        <w:t>verwendet, welche im früheren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Projektteil </w:t>
      </w:r>
      <w:r w:rsidR="00644F11">
        <w:rPr>
          <w:rFonts w:ascii="Arial" w:eastAsia="Times New Roman" w:hAnsi="Arial" w:cs="Times New Roman"/>
          <w:sz w:val="20"/>
          <w:szCs w:val="24"/>
          <w:lang w:val="de-DE" w:eastAsia="ko-KR"/>
        </w:rPr>
        <w:t>[</w:t>
      </w:r>
      <w:r w:rsidR="00D55FD5" w:rsidRPr="00644F11">
        <w:rPr>
          <w:rFonts w:ascii="Arial" w:eastAsia="Times New Roman" w:hAnsi="Arial" w:cs="Times New Roman"/>
          <w:sz w:val="20"/>
          <w:szCs w:val="24"/>
          <w:lang w:val="de-DE" w:eastAsia="ko-KR"/>
        </w:rPr>
        <w:t>1</w:t>
      </w:r>
      <w:r w:rsidR="00644F11">
        <w:rPr>
          <w:rFonts w:ascii="Arial" w:eastAsia="Times New Roman" w:hAnsi="Arial" w:cs="Times New Roman"/>
          <w:sz w:val="20"/>
          <w:szCs w:val="24"/>
          <w:lang w:val="de-DE" w:eastAsia="ko-KR"/>
        </w:rPr>
        <w:t>]</w:t>
      </w:r>
      <w:r w:rsidR="00D55F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D42A2E" w:rsidRPr="00D55FD5">
        <w:rPr>
          <w:rFonts w:ascii="Arial" w:eastAsia="Times New Roman" w:hAnsi="Arial" w:cs="Times New Roman"/>
          <w:sz w:val="20"/>
          <w:szCs w:val="24"/>
          <w:lang w:val="de-DE" w:eastAsia="ko-KR"/>
        </w:rPr>
        <w:t>für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den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temperaturflexiblen, intermittierenden 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Betrieb ohne solaren Eintrag optimiert wurden. </w:t>
      </w:r>
    </w:p>
    <w:p w14:paraId="421A762C" w14:textId="0F800CA2" w:rsidR="00EA635E" w:rsidRDefault="00095FC7" w:rsidP="00EA63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Im 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>ersten Szenario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wurden alle für die solare Nutzung geeigneten Dachflächen in die Berechnung miteingebunden, wobei aus wirtschaftlichen Gründen nur Flachkollektoren ber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>ücksichtigt wurden. D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as 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lastRenderedPageBreak/>
        <w:t xml:space="preserve">Laden 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>der Speicher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über solare Einträge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hatte 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Vorrang gegenüber 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>dem Laden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aus dem N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>ahwärmen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>etz</w:t>
      </w:r>
      <w:r w:rsidR="00D42A2E">
        <w:rPr>
          <w:rFonts w:ascii="Arial" w:eastAsia="Times New Roman" w:hAnsi="Arial" w:cs="Times New Roman"/>
          <w:sz w:val="20"/>
          <w:szCs w:val="24"/>
          <w:lang w:val="de-DE" w:eastAsia="ko-KR"/>
        </w:rPr>
        <w:t>. Ü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berschüssige Energie, die weder sofort genutzt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>bzw.</w:t>
      </w:r>
      <w:r w:rsidR="004B00D5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>nicht mehr gespeichert werden konnte</w:t>
      </w:r>
      <w:r w:rsidR="00245DAA">
        <w:rPr>
          <w:rFonts w:ascii="Arial" w:eastAsia="Times New Roman" w:hAnsi="Arial" w:cs="Times New Roman"/>
          <w:sz w:val="20"/>
          <w:szCs w:val="24"/>
          <w:lang w:val="de-DE" w:eastAsia="ko-KR"/>
        </w:rPr>
        <w:t>,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wurde nicht mehr b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>erücksichtigt. Beim Szenario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mit den Cluster-Speichern wurden ebenfalls die 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>für Modulmontage verfügbaren Dachf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lächen als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>Berechnungsgrundlage</w:t>
      </w:r>
      <w:r w:rsidR="004B00D5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EA635E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>für die Einspeisung in die Speicher herangezogen.</w:t>
      </w:r>
    </w:p>
    <w:p w14:paraId="0C344D21" w14:textId="1DECBBF9" w:rsidR="007064BC" w:rsidRDefault="001C1298" w:rsidP="007064B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Dabei konnte</w:t>
      </w:r>
      <w:r w:rsidR="007C2C7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B0401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am Einspeisepunkt des Nahwärmenetzes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eine Steigerung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der</w:t>
      </w:r>
      <w:r w:rsidR="00907DA7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8D5B25">
        <w:rPr>
          <w:rFonts w:ascii="Arial" w:eastAsia="Times New Roman" w:hAnsi="Arial" w:cs="Times New Roman"/>
          <w:sz w:val="20"/>
          <w:szCs w:val="24"/>
          <w:lang w:val="de-DE" w:eastAsia="ko-KR"/>
        </w:rPr>
        <w:t>jährlichen Einsparung</w:t>
      </w:r>
      <w:r w:rsidR="007C2C7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für Netz A </w:t>
      </w:r>
      <w:r w:rsidR="007C2C71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von 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>ursprünglichen 6</w:t>
      </w:r>
      <w:r w:rsidR="00907DA7">
        <w:rPr>
          <w:rFonts w:ascii="Arial" w:eastAsia="Times New Roman" w:hAnsi="Arial" w:cs="Times New Roman"/>
          <w:sz w:val="20"/>
          <w:szCs w:val="24"/>
          <w:lang w:val="de-DE" w:eastAsia="ko-KR"/>
        </w:rPr>
        <w:t>,0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% im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temperaturflexiblen, intermittierenden Betrieb ohne solaren Eintrag 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auf 37,9 % errechnet werden.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Für Netz B konnte die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jährlichen Einsparung von 5,2 % auf 41,6 %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erhöht werden</w:t>
      </w:r>
      <w:r w:rsidR="007064BC"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</w:p>
    <w:p w14:paraId="4D7FA7FB" w14:textId="0BEBAB38" w:rsidR="007C2C71" w:rsidRDefault="007C2C71" w:rsidP="00EA63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In der Variante mit </w:t>
      </w:r>
      <w:r w:rsidR="0015346F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den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Cluster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>-S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peichern, 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>bei de</w:t>
      </w:r>
      <w:r w:rsidR="009D7DBF">
        <w:rPr>
          <w:rFonts w:ascii="Arial" w:eastAsia="Times New Roman" w:hAnsi="Arial" w:cs="Times New Roman"/>
          <w:sz w:val="20"/>
          <w:szCs w:val="24"/>
          <w:lang w:val="de-DE" w:eastAsia="ko-KR"/>
        </w:rPr>
        <w:t>r</w:t>
      </w:r>
      <w:r w:rsidR="004B00D5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eine Gruppe von Verbrauchern von</w:t>
      </w:r>
      <w:r w:rsidR="00D90CB0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jeweils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einem Speicher </w:t>
      </w:r>
      <w:r w:rsidR="00B04015">
        <w:rPr>
          <w:rFonts w:ascii="Arial" w:eastAsia="Times New Roman" w:hAnsi="Arial" w:cs="Times New Roman"/>
          <w:sz w:val="20"/>
          <w:szCs w:val="24"/>
          <w:lang w:val="de-DE" w:eastAsia="ko-KR"/>
        </w:rPr>
        <w:t>versorgt wird, wurden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Einsparungen von 49,1 % für das Netz A und 41,9 </w:t>
      </w:r>
      <w:r w:rsidR="0015346F">
        <w:rPr>
          <w:rFonts w:ascii="Arial" w:eastAsia="Times New Roman" w:hAnsi="Arial" w:cs="Times New Roman"/>
          <w:sz w:val="20"/>
          <w:szCs w:val="24"/>
          <w:lang w:val="de-DE" w:eastAsia="ko-KR"/>
        </w:rPr>
        <w:t>% für das Netz B errechnet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.</w:t>
      </w:r>
    </w:p>
    <w:p w14:paraId="355C1C7B" w14:textId="72901ED3" w:rsidR="00855E36" w:rsidRDefault="00EA635E" w:rsidP="00855E3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Da die </w:t>
      </w:r>
      <w:r w:rsidR="008536F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Erträge aus den insgesamt </w:t>
      </w:r>
      <w:r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verfügbaren Dachflächen für die Installation von Modulen den Bedarf an solarer Energie in den Schwachlastzeiten bei weitem überstiegen, erfolgte in </w:t>
      </w:r>
      <w:r w:rsidR="00850E56">
        <w:rPr>
          <w:rFonts w:ascii="Arial" w:eastAsia="Times New Roman" w:hAnsi="Arial" w:cs="Times New Roman"/>
          <w:sz w:val="20"/>
          <w:szCs w:val="24"/>
          <w:lang w:val="de-DE" w:eastAsia="ko-KR"/>
        </w:rPr>
        <w:t>einem weiteren Szenario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="00855E36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>eine Reduktion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der Flächen</w:t>
      </w:r>
      <w:r w:rsidR="008536FA">
        <w:rPr>
          <w:rFonts w:ascii="Arial" w:eastAsia="Times New Roman" w:hAnsi="Arial" w:cs="Times New Roman"/>
          <w:sz w:val="20"/>
          <w:szCs w:val="24"/>
          <w:lang w:val="de-DE" w:eastAsia="ko-KR"/>
        </w:rPr>
        <w:t>nutzung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auf</w:t>
      </w:r>
      <w:r w:rsidR="00855E36" w:rsidRPr="00EA635E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etwa 30 %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. </w:t>
      </w:r>
      <w:r w:rsidR="001C1298">
        <w:rPr>
          <w:rFonts w:ascii="Arial" w:eastAsia="Times New Roman" w:hAnsi="Arial" w:cs="Times New Roman"/>
          <w:sz w:val="20"/>
          <w:szCs w:val="24"/>
          <w:lang w:val="de-DE" w:eastAsia="ko-KR"/>
        </w:rPr>
        <w:t>In den wirtschaftlich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interessanten Varianten mit den Cluster Speichern konnte mit diesen optimierten Solarflächen Einsparungen von 28,8 % für das Netz A und für das Netz B von 30 % errechnet werden.</w:t>
      </w:r>
    </w:p>
    <w:p w14:paraId="29BD5B6C" w14:textId="6F989E5E" w:rsidR="00762E26" w:rsidRPr="00242F8A" w:rsidRDefault="00E80011" w:rsidP="00242F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242F8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Für die Schwachlastzeit im Sommer kann dies 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sogar </w:t>
      </w:r>
      <w:r w:rsidRPr="00242F8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bedeuten, dass für 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>die Cluster-V</w:t>
      </w:r>
      <w:r w:rsidR="008B4092">
        <w:rPr>
          <w:rFonts w:ascii="Arial" w:eastAsia="Times New Roman" w:hAnsi="Arial" w:cs="Times New Roman"/>
          <w:sz w:val="20"/>
          <w:szCs w:val="24"/>
          <w:lang w:val="de-DE" w:eastAsia="ko-KR"/>
        </w:rPr>
        <w:t>a</w:t>
      </w:r>
      <w:r w:rsidR="00855E36">
        <w:rPr>
          <w:rFonts w:ascii="Arial" w:eastAsia="Times New Roman" w:hAnsi="Arial" w:cs="Times New Roman"/>
          <w:sz w:val="20"/>
          <w:szCs w:val="24"/>
          <w:lang w:val="de-DE" w:eastAsia="ko-KR"/>
        </w:rPr>
        <w:t>rianten</w:t>
      </w:r>
      <w:r w:rsidRPr="00242F8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das Heizwerk überhaupt ausgeschaltet und die Energie ausschließlich über die Solaranlagen bereitgestellt werden kann.</w:t>
      </w:r>
    </w:p>
    <w:p w14:paraId="606915AD" w14:textId="77777777" w:rsidR="00B7037A" w:rsidRPr="00E80011" w:rsidRDefault="003F7E37" w:rsidP="00E8001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So positiv sich die Einbindung von Solarthermie bezüglich einer Ressourcenschonung auswirkt, i</w:t>
      </w:r>
      <w:r w:rsidR="00DB094C">
        <w:rPr>
          <w:rFonts w:ascii="Arial" w:eastAsia="Times New Roman" w:hAnsi="Arial" w:cs="Times New Roman"/>
          <w:sz w:val="20"/>
          <w:szCs w:val="24"/>
          <w:lang w:val="de-DE" w:eastAsia="ko-KR"/>
        </w:rPr>
        <w:t>n einer begleitenden Untersuchung bezüglich der Wirtschaftlichkeit konnte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jedoch kein positives Ergebnis erzielt werden.</w:t>
      </w:r>
    </w:p>
    <w:p w14:paraId="3A7166B7" w14:textId="77777777" w:rsidR="00B7037A" w:rsidRPr="00E80011" w:rsidRDefault="00B7037A" w:rsidP="00E8001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</w:p>
    <w:p w14:paraId="2B7E3E4B" w14:textId="1317CB45" w:rsidR="00FC27A0" w:rsidRPr="00B7037A" w:rsidRDefault="00B7037A" w:rsidP="00B703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de-DE" w:eastAsia="ko-KR"/>
        </w:rPr>
      </w:pPr>
      <w:r w:rsidRPr="00B7037A">
        <w:rPr>
          <w:rFonts w:ascii="Arial" w:eastAsia="Times New Roman" w:hAnsi="Arial" w:cs="Times New Roman"/>
          <w:sz w:val="20"/>
          <w:szCs w:val="24"/>
          <w:lang w:val="de-DE" w:eastAsia="ko-KR"/>
        </w:rPr>
        <w:t>Die Autoren bedank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en</w:t>
      </w:r>
      <w:r w:rsidR="008B4092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sich bei der </w:t>
      </w:r>
      <w:r w:rsidR="008B4092" w:rsidRPr="00644F11">
        <w:rPr>
          <w:rFonts w:ascii="Arial" w:eastAsia="Times New Roman" w:hAnsi="Arial" w:cs="Times New Roman"/>
          <w:i/>
          <w:sz w:val="20"/>
          <w:szCs w:val="24"/>
          <w:lang w:val="de-DE" w:eastAsia="ko-KR"/>
        </w:rPr>
        <w:t>Österreichischen Forschungsförderungsgesellschaft mbH (FFG)</w:t>
      </w:r>
      <w:r w:rsidR="008B4092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(</w:t>
      </w:r>
      <w:r w:rsidR="008B4092" w:rsidRPr="00DE0A4A">
        <w:rPr>
          <w:rFonts w:ascii="Arial" w:eastAsia="Times New Roman" w:hAnsi="Arial" w:cs="Times New Roman"/>
          <w:sz w:val="20"/>
          <w:szCs w:val="24"/>
          <w:lang w:val="de-DE" w:eastAsia="ko-KR"/>
        </w:rPr>
        <w:t>Programm „Stadt der Zukunft“</w:t>
      </w:r>
      <w:r w:rsidR="008B4092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) für die Förderung und 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bei der</w:t>
      </w:r>
      <w:r w:rsidRPr="00B7037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</w:t>
      </w:r>
      <w:r w:rsidRPr="00B7037A">
        <w:rPr>
          <w:rFonts w:ascii="Arial" w:eastAsia="Times New Roman" w:hAnsi="Arial" w:cs="Times New Roman"/>
          <w:i/>
          <w:sz w:val="20"/>
          <w:szCs w:val="24"/>
          <w:lang w:val="de-DE" w:eastAsia="ko-KR"/>
        </w:rPr>
        <w:t>Zentralanstalt für Meteorologie und Geodynamik (ZAMG)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für die Zurverfügungstellung</w:t>
      </w:r>
      <w:r w:rsidRPr="00B7037A">
        <w:rPr>
          <w:rFonts w:ascii="Arial" w:eastAsia="Times New Roman" w:hAnsi="Arial" w:cs="Times New Roman"/>
          <w:sz w:val="20"/>
          <w:szCs w:val="24"/>
          <w:lang w:val="de-DE" w:eastAsia="ko-KR"/>
        </w:rPr>
        <w:t xml:space="preserve"> d</w:t>
      </w:r>
      <w:r>
        <w:rPr>
          <w:rFonts w:ascii="Arial" w:eastAsia="Times New Roman" w:hAnsi="Arial" w:cs="Times New Roman"/>
          <w:sz w:val="20"/>
          <w:szCs w:val="24"/>
          <w:lang w:val="de-DE" w:eastAsia="ko-KR"/>
        </w:rPr>
        <w:t>er Temperatur- und Einstrahl</w:t>
      </w:r>
      <w:r w:rsidRPr="00B7037A">
        <w:rPr>
          <w:rFonts w:ascii="Arial" w:eastAsia="Times New Roman" w:hAnsi="Arial" w:cs="Times New Roman"/>
          <w:sz w:val="20"/>
          <w:szCs w:val="24"/>
          <w:lang w:val="de-DE" w:eastAsia="ko-KR"/>
        </w:rPr>
        <w:t>daten.</w:t>
      </w:r>
    </w:p>
    <w:p w14:paraId="2528857C" w14:textId="77777777" w:rsidR="00B7037A" w:rsidRDefault="00B7037A" w:rsidP="009B4BBB"/>
    <w:p w14:paraId="1E95AF67" w14:textId="77777777" w:rsidR="009B4BBB" w:rsidRPr="009B248D" w:rsidRDefault="009B4BBB" w:rsidP="009B4BBB">
      <w:pPr>
        <w:pStyle w:val="Ueberschrift"/>
        <w:rPr>
          <w:lang w:val="en-US"/>
        </w:rPr>
      </w:pPr>
      <w:bookmarkStart w:id="1" w:name="_Toc26086066"/>
      <w:bookmarkStart w:id="2" w:name="_Toc68418491"/>
      <w:proofErr w:type="spellStart"/>
      <w:r w:rsidRPr="009B248D">
        <w:rPr>
          <w:lang w:val="en-US"/>
        </w:rPr>
        <w:t>Literatur</w:t>
      </w:r>
      <w:bookmarkEnd w:id="1"/>
      <w:bookmarkEnd w:id="2"/>
      <w:proofErr w:type="spellEnd"/>
    </w:p>
    <w:p w14:paraId="2D12B755" w14:textId="490B0CDB" w:rsidR="00D55FD5" w:rsidRDefault="00D55FD5" w:rsidP="009B4BBB">
      <w:pPr>
        <w:pStyle w:val="Literatur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  <w:t xml:space="preserve">Hammer, A., </w:t>
      </w:r>
      <w:proofErr w:type="spellStart"/>
      <w:r>
        <w:rPr>
          <w:lang w:val="en-US"/>
        </w:rPr>
        <w:t>Sejkora</w:t>
      </w:r>
      <w:proofErr w:type="spellEnd"/>
      <w:r>
        <w:rPr>
          <w:lang w:val="en-US"/>
        </w:rPr>
        <w:t xml:space="preserve">, C., </w:t>
      </w:r>
      <w:proofErr w:type="spellStart"/>
      <w:r>
        <w:rPr>
          <w:lang w:val="en-US"/>
        </w:rPr>
        <w:t>Kienberger</w:t>
      </w:r>
      <w:proofErr w:type="spellEnd"/>
      <w:r>
        <w:rPr>
          <w:lang w:val="en-US"/>
        </w:rPr>
        <w:t xml:space="preserve">, Th.: </w:t>
      </w:r>
      <w:proofErr w:type="spellStart"/>
      <w:r>
        <w:rPr>
          <w:lang w:val="en-US"/>
        </w:rPr>
        <w:t>Temperaturflexibler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Betrieb</w:t>
      </w:r>
      <w:proofErr w:type="spellEnd"/>
      <w:r>
        <w:rPr>
          <w:lang w:val="en-US"/>
        </w:rPr>
        <w:t xml:space="preserve"> von </w:t>
      </w:r>
      <w:proofErr w:type="spellStart"/>
      <w:r>
        <w:rPr>
          <w:lang w:val="en-US"/>
        </w:rPr>
        <w:t>Nahwärmenetzen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TFlex</w:t>
      </w:r>
      <w:proofErr w:type="spellEnd"/>
      <w:r>
        <w:rPr>
          <w:lang w:val="en-US"/>
        </w:rPr>
        <w:t>), IEWT, Wien, 2017</w:t>
      </w:r>
    </w:p>
    <w:p w14:paraId="6F76D596" w14:textId="12DDCAAB" w:rsidR="009B4BBB" w:rsidRDefault="009B4BBB" w:rsidP="009B4BBB">
      <w:pPr>
        <w:pStyle w:val="Literatur"/>
      </w:pPr>
      <w:r w:rsidRPr="009B248D">
        <w:rPr>
          <w:lang w:val="en-US"/>
        </w:rPr>
        <w:t>[</w:t>
      </w:r>
      <w:r w:rsidR="00D55FD5">
        <w:rPr>
          <w:lang w:val="en-US"/>
        </w:rPr>
        <w:t>2</w:t>
      </w:r>
      <w:r w:rsidRPr="009B248D">
        <w:rPr>
          <w:lang w:val="en-US"/>
        </w:rPr>
        <w:t>]</w:t>
      </w:r>
      <w:r w:rsidRPr="009B248D">
        <w:rPr>
          <w:lang w:val="en-US"/>
        </w:rPr>
        <w:tab/>
      </w:r>
      <w:proofErr w:type="spellStart"/>
      <w:r w:rsidRPr="009B248D">
        <w:rPr>
          <w:lang w:val="en-US"/>
        </w:rPr>
        <w:t>Duffie</w:t>
      </w:r>
      <w:proofErr w:type="spellEnd"/>
      <w:r w:rsidRPr="009B248D">
        <w:rPr>
          <w:lang w:val="en-US"/>
        </w:rPr>
        <w:t xml:space="preserve">, John und Beckmann, William: Solar Engineering of Thermal </w:t>
      </w:r>
      <w:proofErr w:type="spellStart"/>
      <w:r w:rsidRPr="009B248D">
        <w:rPr>
          <w:lang w:val="en-US"/>
        </w:rPr>
        <w:t>Proceses</w:t>
      </w:r>
      <w:proofErr w:type="spellEnd"/>
      <w:r w:rsidRPr="009B248D">
        <w:rPr>
          <w:lang w:val="en-US"/>
        </w:rPr>
        <w:t xml:space="preserve">. </w:t>
      </w:r>
      <w:proofErr w:type="spellStart"/>
      <w:r>
        <w:t>Wiley</w:t>
      </w:r>
      <w:proofErr w:type="spellEnd"/>
      <w:r>
        <w:t xml:space="preserve">, </w:t>
      </w:r>
      <w:proofErr w:type="spellStart"/>
      <w:r>
        <w:t>Hoboken</w:t>
      </w:r>
      <w:proofErr w:type="spellEnd"/>
      <w:r>
        <w:t>, 2006</w:t>
      </w:r>
    </w:p>
    <w:p w14:paraId="3CECCD29" w14:textId="77777777" w:rsidR="009B4BBB" w:rsidRPr="00FC27A0" w:rsidRDefault="009B4BBB">
      <w:pPr>
        <w:rPr>
          <w:lang w:val="de-DE"/>
        </w:rPr>
      </w:pPr>
    </w:p>
    <w:sectPr w:rsidR="009B4BBB" w:rsidRPr="00FC27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215D" w14:textId="77777777" w:rsidR="002A41C8" w:rsidRDefault="002A41C8" w:rsidP="00701C88">
      <w:pPr>
        <w:spacing w:after="0" w:line="240" w:lineRule="auto"/>
      </w:pPr>
      <w:r>
        <w:separator/>
      </w:r>
    </w:p>
  </w:endnote>
  <w:endnote w:type="continuationSeparator" w:id="0">
    <w:p w14:paraId="72D32DC8" w14:textId="77777777" w:rsidR="002A41C8" w:rsidRDefault="002A41C8" w:rsidP="0070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A72A" w14:textId="77777777" w:rsidR="002A41C8" w:rsidRDefault="002A41C8" w:rsidP="00701C88">
      <w:pPr>
        <w:spacing w:after="0" w:line="240" w:lineRule="auto"/>
      </w:pPr>
      <w:r>
        <w:separator/>
      </w:r>
    </w:p>
  </w:footnote>
  <w:footnote w:type="continuationSeparator" w:id="0">
    <w:p w14:paraId="572AEE00" w14:textId="77777777" w:rsidR="002A41C8" w:rsidRDefault="002A41C8" w:rsidP="00701C88">
      <w:pPr>
        <w:spacing w:after="0" w:line="240" w:lineRule="auto"/>
      </w:pPr>
      <w:r>
        <w:continuationSeparator/>
      </w:r>
    </w:p>
  </w:footnote>
  <w:footnote w:id="1">
    <w:p w14:paraId="6C10B51B" w14:textId="77777777" w:rsidR="00701C88" w:rsidRPr="001A0674" w:rsidRDefault="00701C88" w:rsidP="00701C8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Franz-Josef-Straße 18, 8700 Leoben, +43 3842 402-5406, andreas.hammer@unileoben.ac.at, evt.unileoben.ac.at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A0"/>
    <w:rsid w:val="00065BC1"/>
    <w:rsid w:val="00095FC7"/>
    <w:rsid w:val="000C0E00"/>
    <w:rsid w:val="00132F1B"/>
    <w:rsid w:val="0015346F"/>
    <w:rsid w:val="00166A5E"/>
    <w:rsid w:val="00172102"/>
    <w:rsid w:val="00185F18"/>
    <w:rsid w:val="001B3505"/>
    <w:rsid w:val="001C1298"/>
    <w:rsid w:val="001F4079"/>
    <w:rsid w:val="001F4F5C"/>
    <w:rsid w:val="00201EA7"/>
    <w:rsid w:val="00210A70"/>
    <w:rsid w:val="002132B4"/>
    <w:rsid w:val="00217B20"/>
    <w:rsid w:val="0022728F"/>
    <w:rsid w:val="00242F8A"/>
    <w:rsid w:val="00245DAA"/>
    <w:rsid w:val="0028260E"/>
    <w:rsid w:val="002A41C8"/>
    <w:rsid w:val="002B54F0"/>
    <w:rsid w:val="002F1183"/>
    <w:rsid w:val="003724D8"/>
    <w:rsid w:val="003761F7"/>
    <w:rsid w:val="00394EC7"/>
    <w:rsid w:val="00394FD0"/>
    <w:rsid w:val="003C2E3F"/>
    <w:rsid w:val="003D0921"/>
    <w:rsid w:val="003E4351"/>
    <w:rsid w:val="003F7E37"/>
    <w:rsid w:val="004211B0"/>
    <w:rsid w:val="00424EFB"/>
    <w:rsid w:val="004402ED"/>
    <w:rsid w:val="0047398D"/>
    <w:rsid w:val="00491048"/>
    <w:rsid w:val="004B00D5"/>
    <w:rsid w:val="004C5D13"/>
    <w:rsid w:val="005040EF"/>
    <w:rsid w:val="005A65C1"/>
    <w:rsid w:val="005C15D7"/>
    <w:rsid w:val="005E2E63"/>
    <w:rsid w:val="00644F11"/>
    <w:rsid w:val="006A2F06"/>
    <w:rsid w:val="006E596E"/>
    <w:rsid w:val="00701C88"/>
    <w:rsid w:val="007064BC"/>
    <w:rsid w:val="00717B66"/>
    <w:rsid w:val="00762E26"/>
    <w:rsid w:val="00792147"/>
    <w:rsid w:val="007C2C71"/>
    <w:rsid w:val="007C7605"/>
    <w:rsid w:val="007F7334"/>
    <w:rsid w:val="00813064"/>
    <w:rsid w:val="00814D19"/>
    <w:rsid w:val="00850E56"/>
    <w:rsid w:val="008536FA"/>
    <w:rsid w:val="00855E36"/>
    <w:rsid w:val="008B4092"/>
    <w:rsid w:val="008D5B25"/>
    <w:rsid w:val="00907DA7"/>
    <w:rsid w:val="009A5D5F"/>
    <w:rsid w:val="009B248D"/>
    <w:rsid w:val="009B4BBB"/>
    <w:rsid w:val="009D5856"/>
    <w:rsid w:val="009D7366"/>
    <w:rsid w:val="009D7DBF"/>
    <w:rsid w:val="00A27ECE"/>
    <w:rsid w:val="00AB45C7"/>
    <w:rsid w:val="00AF7A30"/>
    <w:rsid w:val="00B04015"/>
    <w:rsid w:val="00B35158"/>
    <w:rsid w:val="00B7037A"/>
    <w:rsid w:val="00BB6E6A"/>
    <w:rsid w:val="00BE49D2"/>
    <w:rsid w:val="00BF40DB"/>
    <w:rsid w:val="00C5220F"/>
    <w:rsid w:val="00C962BB"/>
    <w:rsid w:val="00CC4BF9"/>
    <w:rsid w:val="00D42A2E"/>
    <w:rsid w:val="00D55FD5"/>
    <w:rsid w:val="00D90CB0"/>
    <w:rsid w:val="00DB094C"/>
    <w:rsid w:val="00E02134"/>
    <w:rsid w:val="00E21284"/>
    <w:rsid w:val="00E80011"/>
    <w:rsid w:val="00E875D8"/>
    <w:rsid w:val="00EA635E"/>
    <w:rsid w:val="00F1057E"/>
    <w:rsid w:val="00F367B9"/>
    <w:rsid w:val="00F565EE"/>
    <w:rsid w:val="00F8161A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C82"/>
  <w15:chartTrackingRefBased/>
  <w15:docId w15:val="{9DD54CC2-5F12-4E2A-B490-5A32718B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2F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ract-Titel">
    <w:name w:val="Abstract-Titel"/>
    <w:basedOn w:val="Titel"/>
    <w:rsid w:val="00701C88"/>
    <w:pPr>
      <w:pageBreakBefore/>
      <w:spacing w:before="120" w:after="120"/>
      <w:contextualSpacing w:val="0"/>
      <w:jc w:val="center"/>
    </w:pPr>
    <w:rPr>
      <w:rFonts w:ascii="Arial" w:eastAsia="Times New Roman" w:hAnsi="Arial" w:cs="Arial"/>
      <w:b/>
      <w:snapToGrid w:val="0"/>
      <w:spacing w:val="0"/>
      <w:sz w:val="32"/>
      <w:szCs w:val="20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01C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torenOrganisation">
    <w:name w:val="Autoren &amp; Organisation"/>
    <w:basedOn w:val="Standard"/>
    <w:rsid w:val="00701C88"/>
    <w:pPr>
      <w:tabs>
        <w:tab w:val="left" w:pos="15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color w:val="181512"/>
      <w:spacing w:val="-5"/>
      <w:sz w:val="24"/>
      <w:szCs w:val="24"/>
      <w:lang w:eastAsia="de-DE"/>
    </w:rPr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701C8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1C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ko-K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1C88"/>
    <w:rPr>
      <w:rFonts w:ascii="Arial" w:eastAsia="Times New Roman" w:hAnsi="Arial" w:cs="Times New Roman"/>
      <w:sz w:val="20"/>
      <w:szCs w:val="20"/>
      <w:lang w:val="de-DE" w:eastAsia="ko-KR"/>
    </w:rPr>
  </w:style>
  <w:style w:type="paragraph" w:customStyle="1" w:styleId="Ueberschrift">
    <w:name w:val="Ueberschrift"/>
    <w:basedOn w:val="Standard"/>
    <w:link w:val="UeberschriftChar"/>
    <w:rsid w:val="00701C88"/>
    <w:pPr>
      <w:spacing w:before="120" w:after="120" w:line="240" w:lineRule="auto"/>
      <w:jc w:val="both"/>
    </w:pPr>
    <w:rPr>
      <w:rFonts w:ascii="Arial" w:eastAsia="Times New Roman" w:hAnsi="Arial" w:cs="Times New Roman"/>
      <w:b/>
      <w:spacing w:val="-5"/>
      <w:szCs w:val="24"/>
      <w:lang w:val="de-DE" w:eastAsia="de-DE"/>
    </w:rPr>
  </w:style>
  <w:style w:type="character" w:customStyle="1" w:styleId="UeberschriftChar">
    <w:name w:val="Ueberschrift Char"/>
    <w:link w:val="Ueberschrift"/>
    <w:rsid w:val="00701C88"/>
    <w:rPr>
      <w:rFonts w:ascii="Arial" w:eastAsia="Times New Roman" w:hAnsi="Arial" w:cs="Times New Roman"/>
      <w:b/>
      <w:spacing w:val="-5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4E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4E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4E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4E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4E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EC7"/>
    <w:rPr>
      <w:rFonts w:ascii="Segoe UI" w:hAnsi="Segoe UI" w:cs="Segoe UI"/>
      <w:sz w:val="18"/>
      <w:szCs w:val="18"/>
    </w:rPr>
  </w:style>
  <w:style w:type="paragraph" w:customStyle="1" w:styleId="Literatur">
    <w:name w:val="Literatur"/>
    <w:basedOn w:val="Standard"/>
    <w:rsid w:val="009B4BBB"/>
    <w:p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55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6729-5594-4511-BD2E-488536F2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Hammer</dc:creator>
  <cp:keywords/>
  <dc:description/>
  <cp:lastModifiedBy>Andreas Hammer</cp:lastModifiedBy>
  <cp:revision>3</cp:revision>
  <cp:lastPrinted>2018-10-31T13:07:00Z</cp:lastPrinted>
  <dcterms:created xsi:type="dcterms:W3CDTF">2018-11-06T15:35:00Z</dcterms:created>
  <dcterms:modified xsi:type="dcterms:W3CDTF">2019-02-01T13:40:00Z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Z:\02_Forschung\01_Literatur\Citavi\Literatur EVT\Literatur EVT.ctv6</vt:lpwstr>
  </property>
  <property fmtid="{D5CDD505-2E9C-101B-9397-08002B2CF9AE}" pid="3" name="CitaviDocumentProperty_7">
    <vt:lpwstr>Literatur EVT</vt:lpwstr>
  </property>
  <property fmtid="{D5CDD505-2E9C-101B-9397-08002B2CF9AE}" pid="4" name="CitaviDocumentProperty_0">
    <vt:lpwstr>f1ed8f7d-1c65-4f06-ad48-3e96e725bea1</vt:lpwstr>
  </property>
  <property fmtid="{D5CDD505-2E9C-101B-9397-08002B2CF9AE}" pid="5" name="CitaviDocumentProperty_1">
    <vt:lpwstr>6.1.0.0</vt:lpwstr>
  </property>
</Properties>
</file>