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4F" w:rsidRPr="0082199C" w:rsidRDefault="00BC2577" w:rsidP="005E4D4F">
      <w:pPr>
        <w:pStyle w:val="Abstract-Titel"/>
        <w:rPr>
          <w:lang w:val="en-GB"/>
        </w:rPr>
      </w:pPr>
      <w:r>
        <w:rPr>
          <w:lang w:val="en-GB"/>
        </w:rPr>
        <w:t>Bias-correcting s</w:t>
      </w:r>
      <w:r w:rsidR="00265B84" w:rsidRPr="0082199C">
        <w:rPr>
          <w:lang w:val="en-GB"/>
        </w:rPr>
        <w:t>imulat</w:t>
      </w:r>
      <w:r>
        <w:rPr>
          <w:lang w:val="en-GB"/>
        </w:rPr>
        <w:t>ed</w:t>
      </w:r>
      <w:r w:rsidR="00265B84" w:rsidRPr="0082199C">
        <w:rPr>
          <w:lang w:val="en-GB"/>
        </w:rPr>
        <w:t xml:space="preserve"> </w:t>
      </w:r>
      <w:r>
        <w:rPr>
          <w:lang w:val="en-GB"/>
        </w:rPr>
        <w:t xml:space="preserve">wind power in Austria and in Brazil from the ERA-5 reanalysis data set </w:t>
      </w:r>
      <w:r w:rsidR="00265B84" w:rsidRPr="0082199C">
        <w:rPr>
          <w:lang w:val="en-GB"/>
        </w:rPr>
        <w:t xml:space="preserve">with the DTU Wind Atlas </w:t>
      </w:r>
    </w:p>
    <w:p w:rsidR="00BF05FA" w:rsidRPr="00A97596" w:rsidRDefault="00AD46BD" w:rsidP="00A156E4">
      <w:pPr>
        <w:pStyle w:val="AutorenOrganisation"/>
      </w:pPr>
      <w:r w:rsidRPr="00A97596">
        <w:t>Modelling</w:t>
      </w:r>
    </w:p>
    <w:p w:rsidR="005E4D4F" w:rsidRPr="00A97596" w:rsidRDefault="00527C01" w:rsidP="00A156E4">
      <w:pPr>
        <w:pStyle w:val="AutorenOrganisation"/>
      </w:pPr>
      <w:r w:rsidRPr="00A97596">
        <w:t>Katharina GRUBER</w:t>
      </w:r>
      <w:r w:rsidR="005E4D4F" w:rsidRPr="0082199C">
        <w:rPr>
          <w:vertAlign w:val="superscript"/>
          <w:lang w:val="en-GB"/>
        </w:rPr>
        <w:footnoteReference w:id="1"/>
      </w:r>
      <w:r w:rsidR="00A156E4" w:rsidRPr="00A97596">
        <w:rPr>
          <w:vertAlign w:val="superscript"/>
        </w:rPr>
        <w:t>(1)</w:t>
      </w:r>
      <w:r w:rsidR="005E4D4F" w:rsidRPr="00A97596">
        <w:t xml:space="preserve">, </w:t>
      </w:r>
      <w:r w:rsidR="00A97596">
        <w:t>Johannes SCHMIDT</w:t>
      </w:r>
      <w:r w:rsidR="0014490B" w:rsidRPr="00A97596">
        <w:rPr>
          <w:vertAlign w:val="superscript"/>
        </w:rPr>
        <w:t>(1)</w:t>
      </w:r>
    </w:p>
    <w:p w:rsidR="005E4D4F" w:rsidRPr="00A97596" w:rsidRDefault="00A156E4" w:rsidP="005E4D4F">
      <w:pPr>
        <w:pStyle w:val="AutorenOrganisation"/>
      </w:pPr>
      <w:r w:rsidRPr="00A97596">
        <w:rPr>
          <w:vertAlign w:val="superscript"/>
        </w:rPr>
        <w:t>(</w:t>
      </w:r>
      <w:r w:rsidR="00010E92" w:rsidRPr="00A97596">
        <w:rPr>
          <w:vertAlign w:val="superscript"/>
        </w:rPr>
        <w:t>1</w:t>
      </w:r>
      <w:r w:rsidRPr="00A97596">
        <w:rPr>
          <w:vertAlign w:val="superscript"/>
        </w:rPr>
        <w:t>)</w:t>
      </w:r>
      <w:r w:rsidR="00527C01" w:rsidRPr="00A97596">
        <w:t xml:space="preserve"> </w:t>
      </w:r>
      <w:r w:rsidR="00A97596">
        <w:t xml:space="preserve">Institut für Nachhaltige Wirtschaftsentwicklung, </w:t>
      </w:r>
      <w:r w:rsidR="00527C01" w:rsidRPr="00A97596">
        <w:t>Univers</w:t>
      </w:r>
      <w:r w:rsidR="00A97596">
        <w:t>i</w:t>
      </w:r>
      <w:r w:rsidR="00527C01" w:rsidRPr="00A97596">
        <w:t>tät für Bodenkultur Wien</w:t>
      </w:r>
    </w:p>
    <w:p w:rsidR="00A07737" w:rsidRPr="00A97596" w:rsidRDefault="00A07737" w:rsidP="00FB69AE">
      <w:pPr>
        <w:rPr>
          <w:lang w:val="de-AT"/>
        </w:rPr>
      </w:pPr>
    </w:p>
    <w:p w:rsidR="005E4D4F" w:rsidRPr="0082199C" w:rsidRDefault="005E4D4F" w:rsidP="005E4D4F">
      <w:pPr>
        <w:pStyle w:val="Ueberschrift"/>
        <w:rPr>
          <w:lang w:val="en-GB"/>
        </w:rPr>
      </w:pPr>
      <w:r w:rsidRPr="0082199C">
        <w:rPr>
          <w:lang w:val="en-GB"/>
        </w:rPr>
        <w:t xml:space="preserve">Motivation und </w:t>
      </w:r>
      <w:proofErr w:type="spellStart"/>
      <w:r w:rsidRPr="0082199C">
        <w:rPr>
          <w:lang w:val="en-GB"/>
        </w:rPr>
        <w:t>zentrale</w:t>
      </w:r>
      <w:proofErr w:type="spellEnd"/>
      <w:r w:rsidRPr="0082199C">
        <w:rPr>
          <w:lang w:val="en-GB"/>
        </w:rPr>
        <w:t xml:space="preserve"> </w:t>
      </w:r>
      <w:proofErr w:type="spellStart"/>
      <w:r w:rsidRPr="0082199C">
        <w:rPr>
          <w:lang w:val="en-GB"/>
        </w:rPr>
        <w:t>Fragestellung</w:t>
      </w:r>
      <w:proofErr w:type="spellEnd"/>
    </w:p>
    <w:p w:rsidR="005E4D4F" w:rsidRPr="0082199C" w:rsidRDefault="00A97596" w:rsidP="00227125">
      <w:pPr>
        <w:rPr>
          <w:lang w:val="en-GB"/>
        </w:rPr>
      </w:pPr>
      <w:r>
        <w:rPr>
          <w:lang w:val="en-GB"/>
        </w:rPr>
        <w:t>Scenarios of future</w:t>
      </w:r>
      <w:r w:rsidR="00906167" w:rsidRPr="0082199C">
        <w:rPr>
          <w:lang w:val="en-GB"/>
        </w:rPr>
        <w:t xml:space="preserve"> </w:t>
      </w:r>
      <w:r>
        <w:rPr>
          <w:lang w:val="en-GB"/>
        </w:rPr>
        <w:t xml:space="preserve">energy systems with high shares of intermittent renewables rely on timeseries data of potential generation to understand </w:t>
      </w:r>
      <w:r w:rsidR="00A318D9">
        <w:rPr>
          <w:lang w:val="en-GB"/>
        </w:rPr>
        <w:t xml:space="preserve">renewable </w:t>
      </w:r>
      <w:r>
        <w:rPr>
          <w:lang w:val="en-GB"/>
        </w:rPr>
        <w:t>variability.</w:t>
      </w:r>
      <w:r w:rsidR="00906167" w:rsidRPr="0082199C">
        <w:rPr>
          <w:lang w:val="en-GB"/>
        </w:rPr>
        <w:t xml:space="preserve"> </w:t>
      </w:r>
      <w:r w:rsidR="00A318D9">
        <w:rPr>
          <w:lang w:val="en-GB"/>
        </w:rPr>
        <w:t>This d</w:t>
      </w:r>
      <w:r w:rsidR="00906167" w:rsidRPr="0082199C">
        <w:rPr>
          <w:lang w:val="en-GB"/>
        </w:rPr>
        <w:t xml:space="preserve">ata </w:t>
      </w:r>
      <w:r>
        <w:rPr>
          <w:lang w:val="en-GB"/>
        </w:rPr>
        <w:t>may come from</w:t>
      </w:r>
      <w:r w:rsidR="00906167" w:rsidRPr="0082199C">
        <w:rPr>
          <w:lang w:val="en-GB"/>
        </w:rPr>
        <w:t xml:space="preserve"> </w:t>
      </w:r>
      <w:r>
        <w:rPr>
          <w:lang w:val="en-GB"/>
        </w:rPr>
        <w:t>m</w:t>
      </w:r>
      <w:r w:rsidR="00906167" w:rsidRPr="0082199C">
        <w:rPr>
          <w:lang w:val="en-GB"/>
        </w:rPr>
        <w:t xml:space="preserve">easured </w:t>
      </w:r>
      <w:r>
        <w:rPr>
          <w:lang w:val="en-GB"/>
        </w:rPr>
        <w:t xml:space="preserve">generation. </w:t>
      </w:r>
      <w:r w:rsidR="00A318D9">
        <w:rPr>
          <w:lang w:val="en-GB"/>
        </w:rPr>
        <w:t>Yet, these measurements</w:t>
      </w:r>
      <w:r>
        <w:rPr>
          <w:lang w:val="en-GB"/>
        </w:rPr>
        <w:t xml:space="preserve"> are not (freely) available for all world regions </w:t>
      </w:r>
      <w:r w:rsidR="00757F55" w:rsidRPr="0082199C">
        <w:rPr>
          <w:lang w:val="en-GB"/>
        </w:rPr>
        <w:t>[1,2]</w:t>
      </w:r>
      <w:r>
        <w:rPr>
          <w:lang w:val="en-GB"/>
        </w:rPr>
        <w:t>. As an alternative</w:t>
      </w:r>
      <w:r w:rsidR="00906167" w:rsidRPr="0082199C">
        <w:rPr>
          <w:lang w:val="en-GB"/>
        </w:rPr>
        <w:t>, reanalysis</w:t>
      </w:r>
      <w:r w:rsidR="00A318D9">
        <w:rPr>
          <w:lang w:val="en-GB"/>
        </w:rPr>
        <w:t xml:space="preserve"> climate</w:t>
      </w:r>
      <w:r w:rsidR="00906167" w:rsidRPr="0082199C">
        <w:rPr>
          <w:lang w:val="en-GB"/>
        </w:rPr>
        <w:t xml:space="preserve"> data</w:t>
      </w:r>
      <w:r w:rsidR="00A318D9">
        <w:rPr>
          <w:lang w:val="en-GB"/>
        </w:rPr>
        <w:t>, which are freely available globally</w:t>
      </w:r>
      <w:r w:rsidR="009274E0" w:rsidRPr="0082199C">
        <w:rPr>
          <w:lang w:val="en-GB"/>
        </w:rPr>
        <w:t xml:space="preserve"> </w:t>
      </w:r>
      <w:r w:rsidR="00A318D9">
        <w:rPr>
          <w:lang w:val="en-GB"/>
        </w:rPr>
        <w:t>are</w:t>
      </w:r>
      <w:r>
        <w:rPr>
          <w:lang w:val="en-GB"/>
        </w:rPr>
        <w:t xml:space="preserve"> used to simulate intermittent electricity generation. </w:t>
      </w:r>
      <w:r w:rsidR="002A2D55" w:rsidRPr="0082199C">
        <w:rPr>
          <w:lang w:val="en-GB"/>
        </w:rPr>
        <w:t>[2,3,4]</w:t>
      </w:r>
      <w:r w:rsidR="00906167" w:rsidRPr="0082199C">
        <w:rPr>
          <w:lang w:val="en-GB"/>
        </w:rPr>
        <w:t xml:space="preserve">. </w:t>
      </w:r>
      <w:r>
        <w:rPr>
          <w:lang w:val="en-GB"/>
        </w:rPr>
        <w:t>However, significant regional bias is present in reanalysis data. We therefore study</w:t>
      </w:r>
      <w:r w:rsidR="009274E0" w:rsidRPr="0082199C">
        <w:rPr>
          <w:lang w:val="en-GB"/>
        </w:rPr>
        <w:t xml:space="preserve"> bias </w:t>
      </w:r>
      <w:r w:rsidR="00DC1320" w:rsidRPr="0082199C">
        <w:rPr>
          <w:lang w:val="en-GB"/>
        </w:rPr>
        <w:t xml:space="preserve">correction </w:t>
      </w:r>
      <w:r w:rsidR="009274E0" w:rsidRPr="0082199C">
        <w:rPr>
          <w:lang w:val="en-GB"/>
        </w:rPr>
        <w:t xml:space="preserve">of ERA-5 reanalysis wind speed data </w:t>
      </w:r>
      <w:r w:rsidR="00DC1320" w:rsidRPr="0082199C">
        <w:rPr>
          <w:lang w:val="en-GB"/>
        </w:rPr>
        <w:t>in Austria and Brazil</w:t>
      </w:r>
      <w:r w:rsidR="00D5413E" w:rsidRPr="0082199C">
        <w:rPr>
          <w:lang w:val="en-GB"/>
        </w:rPr>
        <w:t xml:space="preserve"> </w:t>
      </w:r>
      <w:r>
        <w:rPr>
          <w:lang w:val="en-GB"/>
        </w:rPr>
        <w:t xml:space="preserve">to understand if the same </w:t>
      </w:r>
      <w:r w:rsidR="00D5413E" w:rsidRPr="0082199C">
        <w:rPr>
          <w:lang w:val="en-GB"/>
        </w:rPr>
        <w:t xml:space="preserve">bias correction methods </w:t>
      </w:r>
      <w:r>
        <w:rPr>
          <w:lang w:val="en-GB"/>
        </w:rPr>
        <w:t xml:space="preserve">can </w:t>
      </w:r>
      <w:r w:rsidR="00A318D9">
        <w:rPr>
          <w:lang w:val="en-GB"/>
        </w:rPr>
        <w:t>improve timeseries</w:t>
      </w:r>
      <w:r>
        <w:rPr>
          <w:lang w:val="en-GB"/>
        </w:rPr>
        <w:t xml:space="preserve"> in</w:t>
      </w:r>
      <w:r w:rsidRPr="0082199C">
        <w:rPr>
          <w:lang w:val="en-GB"/>
        </w:rPr>
        <w:t xml:space="preserve"> </w:t>
      </w:r>
      <w:r w:rsidR="00D5413E" w:rsidRPr="0082199C">
        <w:rPr>
          <w:lang w:val="en-GB"/>
        </w:rPr>
        <w:t xml:space="preserve">two </w:t>
      </w:r>
      <w:r>
        <w:rPr>
          <w:lang w:val="en-GB"/>
        </w:rPr>
        <w:t xml:space="preserve">climatically </w:t>
      </w:r>
      <w:r w:rsidR="00D5413E" w:rsidRPr="0082199C">
        <w:rPr>
          <w:lang w:val="en-GB"/>
        </w:rPr>
        <w:t>different regions.</w:t>
      </w:r>
    </w:p>
    <w:p w:rsidR="005E4D4F" w:rsidRPr="0082199C" w:rsidRDefault="005E4D4F" w:rsidP="005E4D4F">
      <w:pPr>
        <w:pStyle w:val="Ueberschrift"/>
        <w:rPr>
          <w:lang w:val="en-GB"/>
        </w:rPr>
      </w:pPr>
      <w:proofErr w:type="spellStart"/>
      <w:r w:rsidRPr="0082199C">
        <w:rPr>
          <w:lang w:val="en-GB"/>
        </w:rPr>
        <w:t>Methodische</w:t>
      </w:r>
      <w:proofErr w:type="spellEnd"/>
      <w:r w:rsidRPr="0082199C">
        <w:rPr>
          <w:lang w:val="en-GB"/>
        </w:rPr>
        <w:t xml:space="preserve"> </w:t>
      </w:r>
      <w:proofErr w:type="spellStart"/>
      <w:r w:rsidRPr="0082199C">
        <w:rPr>
          <w:lang w:val="en-GB"/>
        </w:rPr>
        <w:t>Vorgangsweise</w:t>
      </w:r>
      <w:proofErr w:type="spellEnd"/>
    </w:p>
    <w:p w:rsidR="005E4D4F" w:rsidRPr="0082199C" w:rsidRDefault="003D1B97" w:rsidP="00227125">
      <w:pPr>
        <w:rPr>
          <w:lang w:val="en-GB"/>
        </w:rPr>
      </w:pPr>
      <w:r w:rsidRPr="0082199C">
        <w:rPr>
          <w:lang w:val="en-GB"/>
        </w:rPr>
        <w:t>This work is based on ERA-5 reanalysis</w:t>
      </w:r>
      <w:r w:rsidR="00BC39A3" w:rsidRPr="0082199C">
        <w:rPr>
          <w:lang w:val="en-GB"/>
        </w:rPr>
        <w:t xml:space="preserve"> [5]</w:t>
      </w:r>
      <w:r w:rsidRPr="0082199C">
        <w:rPr>
          <w:lang w:val="en-GB"/>
        </w:rPr>
        <w:t xml:space="preserve"> wind speed data</w:t>
      </w:r>
      <w:r w:rsidR="00E3377D" w:rsidRPr="0082199C">
        <w:rPr>
          <w:lang w:val="en-GB"/>
        </w:rPr>
        <w:t xml:space="preserve"> and </w:t>
      </w:r>
      <w:r w:rsidR="00BC2577">
        <w:rPr>
          <w:lang w:val="en-GB"/>
        </w:rPr>
        <w:t xml:space="preserve">on </w:t>
      </w:r>
      <w:r w:rsidR="00E3377D" w:rsidRPr="0082199C">
        <w:rPr>
          <w:lang w:val="en-GB"/>
        </w:rPr>
        <w:t>DTU’s Wind Atlas</w:t>
      </w:r>
      <w:r w:rsidR="0033079D" w:rsidRPr="0082199C">
        <w:rPr>
          <w:lang w:val="en-GB"/>
        </w:rPr>
        <w:t xml:space="preserve"> [6]</w:t>
      </w:r>
      <w:r w:rsidR="00E3377D" w:rsidRPr="0082199C">
        <w:rPr>
          <w:lang w:val="en-GB"/>
        </w:rPr>
        <w:t xml:space="preserve"> mean wind speeds. Both datasets are available globally and are tested in two countries, Brazil and Austria. First, wind speeds at locations of wind parks (Brazil) or wind </w:t>
      </w:r>
      <w:r w:rsidR="006E47A4" w:rsidRPr="0082199C">
        <w:rPr>
          <w:lang w:val="en-GB"/>
        </w:rPr>
        <w:t xml:space="preserve">turbines </w:t>
      </w:r>
      <w:r w:rsidR="00233F3F" w:rsidRPr="0082199C">
        <w:rPr>
          <w:lang w:val="en-GB"/>
        </w:rPr>
        <w:t xml:space="preserve">(Austria) </w:t>
      </w:r>
      <w:r w:rsidR="006E47A4" w:rsidRPr="0082199C">
        <w:rPr>
          <w:lang w:val="en-GB"/>
        </w:rPr>
        <w:t>are determined and consequently used to simulate wind power generation with a generic power curve</w:t>
      </w:r>
      <w:r w:rsidR="0038601F" w:rsidRPr="0082199C">
        <w:rPr>
          <w:lang w:val="en-GB"/>
        </w:rPr>
        <w:t xml:space="preserve"> and information on the installed capacity.</w:t>
      </w:r>
      <w:r w:rsidR="00952378" w:rsidRPr="0082199C">
        <w:rPr>
          <w:lang w:val="en-GB"/>
        </w:rPr>
        <w:t xml:space="preserve"> In a second step, wind speeds are bias corrected with the help of mean wind speeds of the Wind Atlas</w:t>
      </w:r>
      <w:r w:rsidR="00233F3F" w:rsidRPr="0082199C">
        <w:rPr>
          <w:lang w:val="en-GB"/>
        </w:rPr>
        <w:t xml:space="preserve"> before wind power simulation</w:t>
      </w:r>
      <w:r w:rsidR="00952378" w:rsidRPr="0082199C">
        <w:rPr>
          <w:lang w:val="en-GB"/>
        </w:rPr>
        <w:t>.</w:t>
      </w:r>
      <w:r w:rsidR="00A878DF" w:rsidRPr="0082199C">
        <w:rPr>
          <w:lang w:val="en-GB"/>
        </w:rPr>
        <w:t xml:space="preserve"> Simulated time series are then compared to time series of observed wind power generation from the National System Operator of Brazil (</w:t>
      </w:r>
      <w:proofErr w:type="spellStart"/>
      <w:r w:rsidR="00A878DF" w:rsidRPr="0082199C">
        <w:rPr>
          <w:lang w:val="en-GB"/>
        </w:rPr>
        <w:t>Operador</w:t>
      </w:r>
      <w:proofErr w:type="spellEnd"/>
      <w:r w:rsidR="00A878DF" w:rsidRPr="0082199C">
        <w:rPr>
          <w:lang w:val="en-GB"/>
        </w:rPr>
        <w:t xml:space="preserve"> Nacional do Sistema </w:t>
      </w:r>
      <w:proofErr w:type="spellStart"/>
      <w:r w:rsidR="00A878DF" w:rsidRPr="0082199C">
        <w:rPr>
          <w:lang w:val="en-GB"/>
        </w:rPr>
        <w:t>Eletrico</w:t>
      </w:r>
      <w:proofErr w:type="spellEnd"/>
      <w:r w:rsidR="00A878DF" w:rsidRPr="0082199C">
        <w:rPr>
          <w:lang w:val="en-GB"/>
        </w:rPr>
        <w:t>, ONS</w:t>
      </w:r>
      <w:r w:rsidR="00B56240" w:rsidRPr="0082199C">
        <w:rPr>
          <w:lang w:val="en-GB"/>
        </w:rPr>
        <w:t xml:space="preserve"> [7]</w:t>
      </w:r>
      <w:r w:rsidR="00A878DF" w:rsidRPr="0082199C">
        <w:rPr>
          <w:lang w:val="en-GB"/>
        </w:rPr>
        <w:t>)</w:t>
      </w:r>
      <w:r w:rsidR="00CC216A" w:rsidRPr="0082199C">
        <w:rPr>
          <w:lang w:val="en-GB"/>
        </w:rPr>
        <w:t xml:space="preserve"> and the </w:t>
      </w:r>
      <w:r w:rsidR="00B33CEF" w:rsidRPr="0082199C">
        <w:rPr>
          <w:lang w:val="en-GB"/>
        </w:rPr>
        <w:t>Settlement Agency for Green Electricity (</w:t>
      </w:r>
      <w:proofErr w:type="spellStart"/>
      <w:r w:rsidR="00B33CEF" w:rsidRPr="0082199C">
        <w:rPr>
          <w:lang w:val="en-GB"/>
        </w:rPr>
        <w:t>OeMAG</w:t>
      </w:r>
      <w:proofErr w:type="spellEnd"/>
      <w:r w:rsidR="006D3C51" w:rsidRPr="0082199C">
        <w:rPr>
          <w:lang w:val="en-GB"/>
        </w:rPr>
        <w:t xml:space="preserve"> </w:t>
      </w:r>
      <w:proofErr w:type="spellStart"/>
      <w:r w:rsidR="006D3C51" w:rsidRPr="0082199C">
        <w:rPr>
          <w:lang w:val="en-GB"/>
        </w:rPr>
        <w:t>Abwicklungsstelle</w:t>
      </w:r>
      <w:proofErr w:type="spellEnd"/>
      <w:r w:rsidR="006D3C51" w:rsidRPr="0082199C">
        <w:rPr>
          <w:lang w:val="en-GB"/>
        </w:rPr>
        <w:t xml:space="preserve"> </w:t>
      </w:r>
      <w:proofErr w:type="spellStart"/>
      <w:r w:rsidR="006D3C51" w:rsidRPr="0082199C">
        <w:rPr>
          <w:lang w:val="en-GB"/>
        </w:rPr>
        <w:t>für</w:t>
      </w:r>
      <w:proofErr w:type="spellEnd"/>
      <w:r w:rsidR="006D3C51" w:rsidRPr="0082199C">
        <w:rPr>
          <w:lang w:val="en-GB"/>
        </w:rPr>
        <w:t xml:space="preserve"> </w:t>
      </w:r>
      <w:proofErr w:type="spellStart"/>
      <w:r w:rsidR="006D3C51" w:rsidRPr="0082199C">
        <w:rPr>
          <w:lang w:val="en-GB"/>
        </w:rPr>
        <w:t>Ökostrom</w:t>
      </w:r>
      <w:proofErr w:type="spellEnd"/>
      <w:r w:rsidR="006D3C51" w:rsidRPr="0082199C">
        <w:rPr>
          <w:lang w:val="en-GB"/>
        </w:rPr>
        <w:t xml:space="preserve"> AG</w:t>
      </w:r>
      <w:r w:rsidR="00B56240" w:rsidRPr="0082199C">
        <w:rPr>
          <w:lang w:val="en-GB"/>
        </w:rPr>
        <w:t xml:space="preserve"> [8]</w:t>
      </w:r>
      <w:r w:rsidR="006D3C51" w:rsidRPr="0082199C">
        <w:rPr>
          <w:lang w:val="en-GB"/>
        </w:rPr>
        <w:t>)</w:t>
      </w:r>
      <w:r w:rsidR="000F5010" w:rsidRPr="0082199C">
        <w:rPr>
          <w:lang w:val="en-GB"/>
        </w:rPr>
        <w:t>. Statistical parameters (RMSE</w:t>
      </w:r>
      <w:r w:rsidR="00F6650D" w:rsidRPr="0082199C">
        <w:rPr>
          <w:lang w:val="en-GB"/>
        </w:rPr>
        <w:t>, MBE and means) are examined, as well as ranges of simulated and observed wind power generation to assess the effect of wind speed bias correction with mean wind speeds of the Wind Atlas on the quality of wind power simulation.</w:t>
      </w:r>
      <w:r w:rsidR="00F144E8" w:rsidRPr="0082199C">
        <w:rPr>
          <w:lang w:val="en-GB"/>
        </w:rPr>
        <w:t xml:space="preserve"> By comparison of results in two different countries conclusions on the quality of global simul</w:t>
      </w:r>
      <w:r w:rsidR="0075334D" w:rsidRPr="0082199C">
        <w:rPr>
          <w:lang w:val="en-GB"/>
        </w:rPr>
        <w:t>a</w:t>
      </w:r>
      <w:r w:rsidR="00F144E8" w:rsidRPr="0082199C">
        <w:rPr>
          <w:lang w:val="en-GB"/>
        </w:rPr>
        <w:t>tion with wind power correction will be attempted.</w:t>
      </w:r>
    </w:p>
    <w:p w:rsidR="005E4D4F" w:rsidRPr="0082199C" w:rsidRDefault="005E4D4F" w:rsidP="005E4D4F">
      <w:pPr>
        <w:pStyle w:val="Ueberschrift"/>
        <w:rPr>
          <w:lang w:val="en-GB"/>
        </w:rPr>
      </w:pPr>
      <w:proofErr w:type="spellStart"/>
      <w:r w:rsidRPr="0082199C">
        <w:rPr>
          <w:lang w:val="en-GB"/>
        </w:rPr>
        <w:t>Ergebnisse</w:t>
      </w:r>
      <w:proofErr w:type="spellEnd"/>
      <w:r w:rsidRPr="0082199C">
        <w:rPr>
          <w:lang w:val="en-GB"/>
        </w:rPr>
        <w:t xml:space="preserve"> und </w:t>
      </w:r>
      <w:proofErr w:type="spellStart"/>
      <w:r w:rsidRPr="0082199C">
        <w:rPr>
          <w:lang w:val="en-GB"/>
        </w:rPr>
        <w:t>Schlussfolgerungen</w:t>
      </w:r>
      <w:proofErr w:type="spellEnd"/>
    </w:p>
    <w:p w:rsidR="005E4D4F" w:rsidRPr="0082199C" w:rsidRDefault="002905B1" w:rsidP="00227125">
      <w:pPr>
        <w:rPr>
          <w:lang w:val="en-GB"/>
        </w:rPr>
      </w:pPr>
      <w:r>
        <w:rPr>
          <w:lang w:val="en-GB"/>
        </w:rPr>
        <w:t>R</w:t>
      </w:r>
      <w:r w:rsidR="00F4704A" w:rsidRPr="0082199C">
        <w:rPr>
          <w:lang w:val="en-GB"/>
        </w:rPr>
        <w:t xml:space="preserve">esults show a </w:t>
      </w:r>
      <w:r>
        <w:rPr>
          <w:lang w:val="en-GB"/>
        </w:rPr>
        <w:t xml:space="preserve">similar </w:t>
      </w:r>
      <w:r w:rsidR="00F4704A" w:rsidRPr="0082199C">
        <w:rPr>
          <w:lang w:val="en-GB"/>
        </w:rPr>
        <w:t xml:space="preserve">outcome for </w:t>
      </w:r>
      <w:r w:rsidR="00056535" w:rsidRPr="0082199C">
        <w:rPr>
          <w:lang w:val="en-GB"/>
        </w:rPr>
        <w:t xml:space="preserve">bias correction of </w:t>
      </w:r>
      <w:r w:rsidR="00F4704A" w:rsidRPr="0082199C">
        <w:rPr>
          <w:lang w:val="en-GB"/>
        </w:rPr>
        <w:t>simulation</w:t>
      </w:r>
      <w:r w:rsidR="00056535" w:rsidRPr="0082199C">
        <w:rPr>
          <w:lang w:val="en-GB"/>
        </w:rPr>
        <w:t>s</w:t>
      </w:r>
      <w:r w:rsidR="00F4704A" w:rsidRPr="0082199C">
        <w:rPr>
          <w:lang w:val="en-GB"/>
        </w:rPr>
        <w:t xml:space="preserve"> of wind power generation in Brazil and Austria.</w:t>
      </w:r>
      <w:r w:rsidR="00741EC0" w:rsidRPr="0082199C">
        <w:rPr>
          <w:lang w:val="en-GB"/>
        </w:rPr>
        <w:t xml:space="preserve"> </w:t>
      </w:r>
      <w:r w:rsidR="00611307" w:rsidRPr="0082199C">
        <w:rPr>
          <w:lang w:val="en-GB"/>
        </w:rPr>
        <w:t xml:space="preserve">Table 1 </w:t>
      </w:r>
      <w:r w:rsidR="003F65F7">
        <w:rPr>
          <w:lang w:val="en-GB"/>
        </w:rPr>
        <w:t>indicates</w:t>
      </w:r>
      <w:r w:rsidR="00611307" w:rsidRPr="0082199C">
        <w:rPr>
          <w:lang w:val="en-GB"/>
        </w:rPr>
        <w:t xml:space="preserve"> that in Austria, when Wind Atlas mean wind speeds are applied for bias correction, the RMSE as well as the MBE are increased. The positive MBE and the higher mean show that performing wind speed correction leads to a </w:t>
      </w:r>
      <w:r w:rsidR="000F43F5">
        <w:rPr>
          <w:lang w:val="en-GB"/>
        </w:rPr>
        <w:t>considerable</w:t>
      </w:r>
      <w:r w:rsidR="00611307" w:rsidRPr="0082199C">
        <w:rPr>
          <w:lang w:val="en-GB"/>
        </w:rPr>
        <w:t xml:space="preserve"> overestimation of observed wind power generation</w:t>
      </w:r>
      <w:r w:rsidR="00EA0CA0" w:rsidRPr="0082199C">
        <w:rPr>
          <w:lang w:val="en-GB"/>
        </w:rPr>
        <w:t xml:space="preserve">, </w:t>
      </w:r>
      <w:r w:rsidR="007D3DC9">
        <w:rPr>
          <w:lang w:val="en-GB"/>
        </w:rPr>
        <w:t>but underestimates</w:t>
      </w:r>
      <w:r w:rsidR="001B7C4E">
        <w:rPr>
          <w:lang w:val="en-GB"/>
        </w:rPr>
        <w:t xml:space="preserve"> before wind speed bias correction</w:t>
      </w:r>
      <w:r w:rsidR="00611307" w:rsidRPr="0082199C">
        <w:rPr>
          <w:lang w:val="en-GB"/>
        </w:rPr>
        <w:t>.</w:t>
      </w:r>
      <w:r w:rsidR="00321C69" w:rsidRPr="0082199C">
        <w:rPr>
          <w:lang w:val="en-GB"/>
        </w:rPr>
        <w:t xml:space="preserve"> This is also shown in </w:t>
      </w:r>
      <w:r w:rsidR="00593A0D" w:rsidRPr="0082199C">
        <w:rPr>
          <w:lang w:val="en-GB"/>
        </w:rPr>
        <w:t xml:space="preserve">Figure 1, where before wind speed correction the simulated wind power is close, but </w:t>
      </w:r>
      <w:r w:rsidR="000F43F5">
        <w:rPr>
          <w:lang w:val="en-GB"/>
        </w:rPr>
        <w:t>slightly below</w:t>
      </w:r>
      <w:r w:rsidR="001C00B6" w:rsidRPr="0082199C">
        <w:rPr>
          <w:lang w:val="en-GB"/>
        </w:rPr>
        <w:t xml:space="preserve"> </w:t>
      </w:r>
      <w:r w:rsidR="00593A0D" w:rsidRPr="0082199C">
        <w:rPr>
          <w:lang w:val="en-GB"/>
        </w:rPr>
        <w:t>observed wind power generation. Bias correction, however, increases simulated wind power and thus results in</w:t>
      </w:r>
      <w:r w:rsidR="001C00B6">
        <w:rPr>
          <w:lang w:val="en-GB"/>
        </w:rPr>
        <w:t xml:space="preserve"> significant</w:t>
      </w:r>
      <w:r w:rsidR="00593A0D" w:rsidRPr="0082199C">
        <w:rPr>
          <w:lang w:val="en-GB"/>
        </w:rPr>
        <w:t xml:space="preserve"> overestimation</w:t>
      </w:r>
      <w:r w:rsidR="00D81C3C" w:rsidRPr="0082199C">
        <w:rPr>
          <w:lang w:val="en-GB"/>
        </w:rPr>
        <w:t>.</w:t>
      </w:r>
    </w:p>
    <w:p w:rsidR="00CC576C" w:rsidRPr="0082199C" w:rsidRDefault="00CC576C" w:rsidP="00227125">
      <w:pPr>
        <w:rPr>
          <w:lang w:val="en-GB"/>
        </w:rPr>
      </w:pPr>
      <w:r w:rsidRPr="0082199C">
        <w:rPr>
          <w:lang w:val="en-GB"/>
        </w:rPr>
        <w:t>In Brazil the effects of wind speed bias correction with Wind Atlas data shows a</w:t>
      </w:r>
      <w:r w:rsidR="00952B90">
        <w:rPr>
          <w:lang w:val="en-GB"/>
        </w:rPr>
        <w:t xml:space="preserve"> similar but slightly</w:t>
      </w:r>
      <w:r w:rsidRPr="0082199C">
        <w:rPr>
          <w:lang w:val="en-GB"/>
        </w:rPr>
        <w:t xml:space="preserve"> different effect: </w:t>
      </w:r>
      <w:r w:rsidR="004F0DDB">
        <w:rPr>
          <w:lang w:val="en-GB"/>
        </w:rPr>
        <w:t>The MBE</w:t>
      </w:r>
      <w:r w:rsidR="00256897" w:rsidRPr="0082199C">
        <w:rPr>
          <w:lang w:val="en-GB"/>
        </w:rPr>
        <w:t xml:space="preserve"> as well as </w:t>
      </w:r>
      <w:r w:rsidR="004F0DDB">
        <w:rPr>
          <w:lang w:val="en-GB"/>
        </w:rPr>
        <w:t xml:space="preserve">the difference to the observed mean generation </w:t>
      </w:r>
      <w:r w:rsidR="00256897" w:rsidRPr="0082199C">
        <w:rPr>
          <w:lang w:val="en-GB"/>
        </w:rPr>
        <w:t xml:space="preserve">are </w:t>
      </w:r>
      <w:r w:rsidR="004F0DDB">
        <w:rPr>
          <w:lang w:val="en-GB"/>
        </w:rPr>
        <w:t>increased</w:t>
      </w:r>
      <w:r w:rsidR="00256897" w:rsidRPr="0082199C">
        <w:rPr>
          <w:lang w:val="en-GB"/>
        </w:rPr>
        <w:t>.</w:t>
      </w:r>
      <w:r w:rsidR="004F0DDB">
        <w:rPr>
          <w:lang w:val="en-GB"/>
        </w:rPr>
        <w:t xml:space="preserve"> The RMSE, however, unlike in the Austrian simulation, is lower after bias correction.</w:t>
      </w:r>
      <w:bookmarkStart w:id="0" w:name="_GoBack"/>
      <w:bookmarkEnd w:id="0"/>
    </w:p>
    <w:p w:rsidR="00BC2577" w:rsidRDefault="00BC2577" w:rsidP="00227125">
      <w:pPr>
        <w:rPr>
          <w:lang w:val="en-GB"/>
        </w:rPr>
      </w:pPr>
      <w:r>
        <w:rPr>
          <w:lang w:val="en-GB"/>
        </w:rPr>
        <w:t xml:space="preserve">The model does not account for concrete turbine specifications </w:t>
      </w:r>
      <w:proofErr w:type="gramStart"/>
      <w:r>
        <w:rPr>
          <w:lang w:val="en-GB"/>
        </w:rPr>
        <w:t>yet, but</w:t>
      </w:r>
      <w:proofErr w:type="gramEnd"/>
      <w:r>
        <w:rPr>
          <w:lang w:val="en-GB"/>
        </w:rPr>
        <w:t xml:space="preserve"> applies a generic power curve. This may be one major source of bias in our estimates. Further work and validation are necessary to come to a definite conclusion on the usefulness of Global Wind Atlas data for bias-correction.</w:t>
      </w:r>
    </w:p>
    <w:p w:rsidR="00321C69" w:rsidRPr="0082199C" w:rsidRDefault="00321C69" w:rsidP="00227125">
      <w:pPr>
        <w:rPr>
          <w:lang w:val="en-GB"/>
        </w:rPr>
      </w:pPr>
    </w:p>
    <w:p w:rsidR="00DE6038" w:rsidRPr="0082199C" w:rsidRDefault="00DE6038" w:rsidP="00227125">
      <w:pPr>
        <w:rPr>
          <w:lang w:val="en-GB"/>
        </w:rPr>
      </w:pPr>
    </w:p>
    <w:p w:rsidR="00DE6038" w:rsidRPr="0082199C" w:rsidRDefault="00DE6038" w:rsidP="00DE6038">
      <w:pPr>
        <w:pStyle w:val="Abbildungsbeschriftung"/>
        <w:rPr>
          <w:lang w:val="en-GB"/>
        </w:rPr>
      </w:pPr>
      <w:r w:rsidRPr="0082199C">
        <w:rPr>
          <w:lang w:val="en-GB"/>
        </w:rPr>
        <w:t xml:space="preserve">Table 1: </w:t>
      </w:r>
      <w:r w:rsidR="00552AB4" w:rsidRPr="0082199C">
        <w:rPr>
          <w:lang w:val="en-GB"/>
        </w:rPr>
        <w:t>Statistical parameters for c</w:t>
      </w:r>
      <w:r w:rsidRPr="0082199C">
        <w:rPr>
          <w:lang w:val="en-GB"/>
        </w:rPr>
        <w:t>omparison of observed (</w:t>
      </w:r>
      <w:proofErr w:type="spellStart"/>
      <w:r w:rsidRPr="0082199C">
        <w:rPr>
          <w:lang w:val="en-GB"/>
        </w:rPr>
        <w:t>obs</w:t>
      </w:r>
      <w:proofErr w:type="spellEnd"/>
      <w:r w:rsidRPr="0082199C">
        <w:rPr>
          <w:lang w:val="en-GB"/>
        </w:rPr>
        <w:t xml:space="preserve">, data by </w:t>
      </w:r>
      <w:proofErr w:type="spellStart"/>
      <w:r w:rsidRPr="0082199C">
        <w:rPr>
          <w:lang w:val="en-GB"/>
        </w:rPr>
        <w:t>OeMAG</w:t>
      </w:r>
      <w:proofErr w:type="spellEnd"/>
      <w:r w:rsidR="00552AB4" w:rsidRPr="0082199C">
        <w:rPr>
          <w:lang w:val="en-GB"/>
        </w:rPr>
        <w:t xml:space="preserve"> and ONS</w:t>
      </w:r>
      <w:r w:rsidRPr="0082199C">
        <w:rPr>
          <w:lang w:val="en-GB"/>
        </w:rPr>
        <w:t xml:space="preserve">) and simulated </w:t>
      </w:r>
      <w:r w:rsidR="00552AB4" w:rsidRPr="0082199C">
        <w:rPr>
          <w:lang w:val="en-GB"/>
        </w:rPr>
        <w:t xml:space="preserve">daily </w:t>
      </w:r>
      <w:r w:rsidRPr="0082199C">
        <w:rPr>
          <w:lang w:val="en-GB"/>
        </w:rPr>
        <w:t>wind power generation with (</w:t>
      </w:r>
      <w:proofErr w:type="spellStart"/>
      <w:r w:rsidRPr="0082199C">
        <w:rPr>
          <w:lang w:val="en-GB"/>
        </w:rPr>
        <w:t>wpc</w:t>
      </w:r>
      <w:proofErr w:type="spellEnd"/>
      <w:r w:rsidRPr="0082199C">
        <w:rPr>
          <w:lang w:val="en-GB"/>
        </w:rPr>
        <w:t>) and without (</w:t>
      </w:r>
      <w:proofErr w:type="spellStart"/>
      <w:r w:rsidRPr="0082199C">
        <w:rPr>
          <w:lang w:val="en-GB"/>
        </w:rPr>
        <w:t>wp</w:t>
      </w:r>
      <w:proofErr w:type="spellEnd"/>
      <w:r w:rsidRPr="0082199C">
        <w:rPr>
          <w:lang w:val="en-GB"/>
        </w:rPr>
        <w:t>) Wind Atlas mean wind speed correction in Austria</w:t>
      </w:r>
      <w:r w:rsidR="00552AB4" w:rsidRPr="0082199C">
        <w:rPr>
          <w:lang w:val="en-GB"/>
        </w:rPr>
        <w:t xml:space="preserve"> (</w:t>
      </w:r>
      <w:proofErr w:type="spellStart"/>
      <w:r w:rsidR="00552AB4" w:rsidRPr="0082199C">
        <w:rPr>
          <w:lang w:val="en-GB"/>
        </w:rPr>
        <w:t>aut</w:t>
      </w:r>
      <w:proofErr w:type="spellEnd"/>
      <w:r w:rsidR="00552AB4" w:rsidRPr="0082199C">
        <w:rPr>
          <w:lang w:val="en-GB"/>
        </w:rPr>
        <w:t>) and Brazil (bra)</w:t>
      </w:r>
    </w:p>
    <w:p w:rsidR="005E4D4F" w:rsidRPr="0082199C" w:rsidRDefault="005E4D4F" w:rsidP="00227125">
      <w:pPr>
        <w:rPr>
          <w:lang w:val="en-GB"/>
        </w:rPr>
      </w:pPr>
    </w:p>
    <w:tbl>
      <w:tblPr>
        <w:tblW w:w="7082" w:type="dxa"/>
        <w:tblInd w:w="70" w:type="dxa"/>
        <w:tblCellMar>
          <w:left w:w="70" w:type="dxa"/>
          <w:right w:w="70" w:type="dxa"/>
        </w:tblCellMar>
        <w:tblLook w:val="04A0" w:firstRow="1" w:lastRow="0" w:firstColumn="1" w:lastColumn="0" w:noHBand="0" w:noVBand="1"/>
      </w:tblPr>
      <w:tblGrid>
        <w:gridCol w:w="1403"/>
        <w:gridCol w:w="1186"/>
        <w:gridCol w:w="1031"/>
        <w:gridCol w:w="862"/>
        <w:gridCol w:w="821"/>
        <w:gridCol w:w="914"/>
        <w:gridCol w:w="865"/>
      </w:tblGrid>
      <w:tr w:rsidR="00DE6038" w:rsidRPr="007C5DD4" w:rsidTr="004A700C">
        <w:trPr>
          <w:trHeight w:val="300"/>
        </w:trPr>
        <w:tc>
          <w:tcPr>
            <w:tcW w:w="1403" w:type="dxa"/>
            <w:tcBorders>
              <w:top w:val="nil"/>
              <w:left w:val="nil"/>
              <w:bottom w:val="nil"/>
              <w:right w:val="nil"/>
            </w:tcBorders>
            <w:shd w:val="clear" w:color="auto" w:fill="auto"/>
            <w:noWrap/>
            <w:vAlign w:val="bottom"/>
            <w:hideMark/>
          </w:tcPr>
          <w:p w:rsidR="00DE6038" w:rsidRPr="00E86984" w:rsidRDefault="00DE6038" w:rsidP="00165D40">
            <w:pPr>
              <w:jc w:val="left"/>
              <w:rPr>
                <w:rFonts w:cs="Arial"/>
                <w:szCs w:val="20"/>
                <w:lang w:val="en-GB" w:eastAsia="de-AT"/>
              </w:rPr>
            </w:pPr>
          </w:p>
        </w:tc>
        <w:tc>
          <w:tcPr>
            <w:tcW w:w="1186" w:type="dxa"/>
            <w:tcBorders>
              <w:top w:val="single" w:sz="8" w:space="0" w:color="auto"/>
              <w:left w:val="single" w:sz="8" w:space="0" w:color="auto"/>
              <w:bottom w:val="nil"/>
              <w:right w:val="single" w:sz="4"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wp_aut</w:t>
            </w:r>
            <w:proofErr w:type="spellEnd"/>
          </w:p>
        </w:tc>
        <w:tc>
          <w:tcPr>
            <w:tcW w:w="1031" w:type="dxa"/>
            <w:tcBorders>
              <w:top w:val="single" w:sz="8" w:space="0" w:color="auto"/>
              <w:left w:val="nil"/>
              <w:bottom w:val="nil"/>
              <w:right w:val="single" w:sz="4"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wpc_aut</w:t>
            </w:r>
            <w:proofErr w:type="spellEnd"/>
          </w:p>
        </w:tc>
        <w:tc>
          <w:tcPr>
            <w:tcW w:w="862" w:type="dxa"/>
            <w:tcBorders>
              <w:top w:val="single" w:sz="8" w:space="0" w:color="auto"/>
              <w:left w:val="nil"/>
              <w:bottom w:val="nil"/>
              <w:right w:val="single" w:sz="4"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obs_aut</w:t>
            </w:r>
            <w:proofErr w:type="spellEnd"/>
          </w:p>
        </w:tc>
        <w:tc>
          <w:tcPr>
            <w:tcW w:w="821" w:type="dxa"/>
            <w:tcBorders>
              <w:top w:val="single" w:sz="8" w:space="0" w:color="auto"/>
              <w:left w:val="nil"/>
              <w:bottom w:val="nil"/>
              <w:right w:val="single" w:sz="4"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wp_bra</w:t>
            </w:r>
            <w:proofErr w:type="spellEnd"/>
          </w:p>
        </w:tc>
        <w:tc>
          <w:tcPr>
            <w:tcW w:w="914" w:type="dxa"/>
            <w:tcBorders>
              <w:top w:val="single" w:sz="8" w:space="0" w:color="auto"/>
              <w:left w:val="nil"/>
              <w:bottom w:val="nil"/>
              <w:right w:val="single" w:sz="4"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wpc_bra</w:t>
            </w:r>
            <w:proofErr w:type="spellEnd"/>
          </w:p>
        </w:tc>
        <w:tc>
          <w:tcPr>
            <w:tcW w:w="865" w:type="dxa"/>
            <w:tcBorders>
              <w:top w:val="single" w:sz="8" w:space="0" w:color="auto"/>
              <w:left w:val="nil"/>
              <w:bottom w:val="nil"/>
              <w:right w:val="single" w:sz="8" w:space="0" w:color="auto"/>
            </w:tcBorders>
            <w:shd w:val="clear" w:color="auto" w:fill="auto"/>
            <w:noWrap/>
            <w:vAlign w:val="bottom"/>
            <w:hideMark/>
          </w:tcPr>
          <w:p w:rsidR="00DE6038" w:rsidRPr="00E86984" w:rsidRDefault="00DE6038" w:rsidP="00165D40">
            <w:pPr>
              <w:jc w:val="left"/>
              <w:rPr>
                <w:rFonts w:cs="Arial"/>
                <w:color w:val="000000"/>
                <w:szCs w:val="22"/>
                <w:lang w:val="en-GB" w:eastAsia="de-AT"/>
              </w:rPr>
            </w:pPr>
            <w:proofErr w:type="spellStart"/>
            <w:r w:rsidRPr="00E86984">
              <w:rPr>
                <w:rFonts w:cs="Arial"/>
                <w:color w:val="000000"/>
                <w:szCs w:val="22"/>
                <w:lang w:val="en-GB" w:eastAsia="de-AT"/>
              </w:rPr>
              <w:t>obs_bra</w:t>
            </w:r>
            <w:proofErr w:type="spellEnd"/>
          </w:p>
        </w:tc>
      </w:tr>
      <w:tr w:rsidR="00DE6038" w:rsidRPr="007C5DD4" w:rsidTr="004A700C">
        <w:trPr>
          <w:trHeight w:val="288"/>
        </w:trPr>
        <w:tc>
          <w:tcPr>
            <w:tcW w:w="1403" w:type="dxa"/>
            <w:tcBorders>
              <w:top w:val="single" w:sz="8" w:space="0" w:color="auto"/>
              <w:left w:val="single" w:sz="8" w:space="0" w:color="auto"/>
              <w:bottom w:val="single" w:sz="4" w:space="0" w:color="auto"/>
              <w:right w:val="nil"/>
            </w:tcBorders>
            <w:shd w:val="clear" w:color="auto" w:fill="auto"/>
            <w:noWrap/>
            <w:vAlign w:val="bottom"/>
            <w:hideMark/>
          </w:tcPr>
          <w:p w:rsidR="00DE6038" w:rsidRPr="00E86984" w:rsidRDefault="00DE6038" w:rsidP="00165D40">
            <w:pPr>
              <w:jc w:val="left"/>
              <w:rPr>
                <w:rFonts w:cs="Arial"/>
                <w:color w:val="000000"/>
                <w:szCs w:val="22"/>
                <w:lang w:val="en-GB" w:eastAsia="de-AT"/>
              </w:rPr>
            </w:pPr>
            <w:r w:rsidRPr="00E86984">
              <w:rPr>
                <w:rFonts w:cs="Arial"/>
                <w:color w:val="000000"/>
                <w:szCs w:val="22"/>
                <w:lang w:val="en-GB" w:eastAsia="de-AT"/>
              </w:rPr>
              <w:lastRenderedPageBreak/>
              <w:t>RMSE</w:t>
            </w:r>
            <w:r w:rsidR="004A700C" w:rsidRPr="00E86984">
              <w:rPr>
                <w:rFonts w:cs="Arial"/>
                <w:color w:val="000000"/>
                <w:szCs w:val="22"/>
                <w:lang w:val="en-GB" w:eastAsia="de-AT"/>
              </w:rPr>
              <w:t xml:space="preserve"> [GWh]</w:t>
            </w:r>
          </w:p>
        </w:tc>
        <w:tc>
          <w:tcPr>
            <w:tcW w:w="118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1</w:t>
            </w:r>
            <w:r w:rsidR="00DE6038" w:rsidRPr="00E86984">
              <w:rPr>
                <w:rFonts w:cs="Arial"/>
                <w:color w:val="000000"/>
                <w:szCs w:val="22"/>
                <w:lang w:val="en-GB" w:eastAsia="de-AT"/>
              </w:rPr>
              <w:t>.</w:t>
            </w:r>
            <w:r>
              <w:rPr>
                <w:rFonts w:cs="Arial"/>
                <w:color w:val="000000"/>
                <w:szCs w:val="22"/>
                <w:lang w:val="en-GB" w:eastAsia="de-AT"/>
              </w:rPr>
              <w:t>80</w:t>
            </w:r>
          </w:p>
        </w:tc>
        <w:tc>
          <w:tcPr>
            <w:tcW w:w="1031" w:type="dxa"/>
            <w:tcBorders>
              <w:top w:val="single" w:sz="8" w:space="0" w:color="auto"/>
              <w:left w:val="nil"/>
              <w:bottom w:val="single" w:sz="4" w:space="0" w:color="auto"/>
              <w:right w:val="nil"/>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4.43</w:t>
            </w:r>
          </w:p>
        </w:tc>
        <w:tc>
          <w:tcPr>
            <w:tcW w:w="862" w:type="dxa"/>
            <w:tcBorders>
              <w:top w:val="single" w:sz="8" w:space="0" w:color="auto"/>
              <w:left w:val="single" w:sz="4" w:space="0" w:color="auto"/>
              <w:bottom w:val="nil"/>
              <w:right w:val="single" w:sz="4" w:space="0" w:color="auto"/>
            </w:tcBorders>
            <w:shd w:val="clear" w:color="auto" w:fill="auto"/>
            <w:noWrap/>
            <w:vAlign w:val="bottom"/>
            <w:hideMark/>
          </w:tcPr>
          <w:p w:rsidR="00DE6038" w:rsidRPr="00E86984" w:rsidRDefault="00DE6038" w:rsidP="00165D40">
            <w:pPr>
              <w:jc w:val="right"/>
              <w:rPr>
                <w:rFonts w:cs="Arial"/>
                <w:color w:val="000000"/>
                <w:szCs w:val="22"/>
                <w:lang w:val="en-GB" w:eastAsia="de-AT"/>
              </w:rPr>
            </w:pPr>
            <w:r w:rsidRPr="00E86984">
              <w:rPr>
                <w:rFonts w:cs="Arial"/>
                <w:color w:val="000000"/>
                <w:szCs w:val="22"/>
                <w:lang w:val="en-GB" w:eastAsia="de-AT"/>
              </w:rPr>
              <w:t> </w:t>
            </w:r>
          </w:p>
        </w:tc>
        <w:tc>
          <w:tcPr>
            <w:tcW w:w="821" w:type="dxa"/>
            <w:tcBorders>
              <w:top w:val="single" w:sz="8" w:space="0" w:color="auto"/>
              <w:left w:val="nil"/>
              <w:bottom w:val="single" w:sz="4" w:space="0" w:color="auto"/>
              <w:right w:val="single" w:sz="4" w:space="0" w:color="auto"/>
            </w:tcBorders>
            <w:shd w:val="clear" w:color="auto" w:fill="auto"/>
            <w:noWrap/>
            <w:vAlign w:val="bottom"/>
            <w:hideMark/>
          </w:tcPr>
          <w:p w:rsidR="00DE6038" w:rsidRPr="00E86984" w:rsidRDefault="007354D2" w:rsidP="00165D40">
            <w:pPr>
              <w:jc w:val="right"/>
              <w:rPr>
                <w:rFonts w:cs="Arial"/>
                <w:color w:val="000000"/>
                <w:szCs w:val="22"/>
                <w:lang w:val="en-GB" w:eastAsia="de-AT"/>
              </w:rPr>
            </w:pPr>
            <w:r>
              <w:rPr>
                <w:rFonts w:cs="Arial"/>
                <w:color w:val="000000"/>
                <w:szCs w:val="22"/>
                <w:lang w:val="en-GB" w:eastAsia="de-AT"/>
              </w:rPr>
              <w:t>11.52</w:t>
            </w:r>
          </w:p>
        </w:tc>
        <w:tc>
          <w:tcPr>
            <w:tcW w:w="914" w:type="dxa"/>
            <w:tcBorders>
              <w:top w:val="single" w:sz="8" w:space="0" w:color="auto"/>
              <w:left w:val="nil"/>
              <w:bottom w:val="single" w:sz="4" w:space="0" w:color="auto"/>
              <w:right w:val="nil"/>
            </w:tcBorders>
            <w:shd w:val="clear" w:color="auto" w:fill="auto"/>
            <w:noWrap/>
            <w:vAlign w:val="bottom"/>
            <w:hideMark/>
          </w:tcPr>
          <w:p w:rsidR="00DE6038" w:rsidRPr="00E86984" w:rsidRDefault="007354D2" w:rsidP="00165D40">
            <w:pPr>
              <w:jc w:val="right"/>
              <w:rPr>
                <w:rFonts w:cs="Arial"/>
                <w:color w:val="000000"/>
                <w:szCs w:val="22"/>
                <w:lang w:val="en-GB" w:eastAsia="de-AT"/>
              </w:rPr>
            </w:pPr>
            <w:r>
              <w:rPr>
                <w:rFonts w:cs="Arial"/>
                <w:color w:val="000000"/>
                <w:szCs w:val="22"/>
                <w:lang w:val="en-GB" w:eastAsia="de-AT"/>
              </w:rPr>
              <w:t>9.93</w:t>
            </w:r>
          </w:p>
        </w:tc>
        <w:tc>
          <w:tcPr>
            <w:tcW w:w="865" w:type="dxa"/>
            <w:tcBorders>
              <w:top w:val="single" w:sz="8" w:space="0" w:color="auto"/>
              <w:left w:val="single" w:sz="4" w:space="0" w:color="auto"/>
              <w:bottom w:val="nil"/>
              <w:right w:val="single" w:sz="8" w:space="0" w:color="auto"/>
            </w:tcBorders>
            <w:shd w:val="clear" w:color="auto" w:fill="auto"/>
            <w:noWrap/>
            <w:vAlign w:val="bottom"/>
            <w:hideMark/>
          </w:tcPr>
          <w:p w:rsidR="00DE6038" w:rsidRPr="00E86984" w:rsidRDefault="00DE6038" w:rsidP="00165D40">
            <w:pPr>
              <w:jc w:val="right"/>
              <w:rPr>
                <w:rFonts w:cs="Arial"/>
                <w:color w:val="000000"/>
                <w:szCs w:val="22"/>
                <w:lang w:val="en-GB" w:eastAsia="de-AT"/>
              </w:rPr>
            </w:pPr>
            <w:r w:rsidRPr="00E86984">
              <w:rPr>
                <w:rFonts w:cs="Arial"/>
                <w:color w:val="000000"/>
                <w:szCs w:val="22"/>
                <w:lang w:val="en-GB" w:eastAsia="de-AT"/>
              </w:rPr>
              <w:t> </w:t>
            </w:r>
          </w:p>
        </w:tc>
      </w:tr>
      <w:tr w:rsidR="00DE6038" w:rsidRPr="007C5DD4" w:rsidTr="004A700C">
        <w:trPr>
          <w:trHeight w:val="288"/>
        </w:trPr>
        <w:tc>
          <w:tcPr>
            <w:tcW w:w="1403" w:type="dxa"/>
            <w:tcBorders>
              <w:top w:val="nil"/>
              <w:left w:val="single" w:sz="8" w:space="0" w:color="auto"/>
              <w:bottom w:val="single" w:sz="4" w:space="0" w:color="auto"/>
              <w:right w:val="nil"/>
            </w:tcBorders>
            <w:shd w:val="clear" w:color="auto" w:fill="auto"/>
            <w:noWrap/>
            <w:vAlign w:val="bottom"/>
            <w:hideMark/>
          </w:tcPr>
          <w:p w:rsidR="00DE6038" w:rsidRPr="00E86984" w:rsidRDefault="00DE6038" w:rsidP="00165D40">
            <w:pPr>
              <w:jc w:val="left"/>
              <w:rPr>
                <w:rFonts w:cs="Arial"/>
                <w:color w:val="000000"/>
                <w:szCs w:val="22"/>
                <w:lang w:val="en-GB" w:eastAsia="de-AT"/>
              </w:rPr>
            </w:pPr>
            <w:r w:rsidRPr="00E86984">
              <w:rPr>
                <w:rFonts w:cs="Arial"/>
                <w:color w:val="000000"/>
                <w:szCs w:val="22"/>
                <w:lang w:val="en-GB" w:eastAsia="de-AT"/>
              </w:rPr>
              <w:t>MBE</w:t>
            </w:r>
            <w:r w:rsidR="004A700C" w:rsidRPr="00E86984">
              <w:rPr>
                <w:rFonts w:cs="Arial"/>
                <w:color w:val="000000"/>
                <w:szCs w:val="22"/>
                <w:lang w:val="en-GB" w:eastAsia="de-AT"/>
              </w:rPr>
              <w:t xml:space="preserve"> [GWh]</w:t>
            </w:r>
          </w:p>
        </w:tc>
        <w:tc>
          <w:tcPr>
            <w:tcW w:w="1186" w:type="dxa"/>
            <w:tcBorders>
              <w:top w:val="nil"/>
              <w:left w:val="single" w:sz="8" w:space="0" w:color="auto"/>
              <w:bottom w:val="single" w:sz="4" w:space="0" w:color="auto"/>
              <w:right w:val="single" w:sz="4" w:space="0" w:color="auto"/>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-0.33</w:t>
            </w:r>
          </w:p>
        </w:tc>
        <w:tc>
          <w:tcPr>
            <w:tcW w:w="1031" w:type="dxa"/>
            <w:tcBorders>
              <w:top w:val="nil"/>
              <w:left w:val="nil"/>
              <w:bottom w:val="single" w:sz="4" w:space="0" w:color="auto"/>
              <w:right w:val="nil"/>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2.85</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DE6038" w:rsidRPr="00E86984" w:rsidRDefault="00DE6038" w:rsidP="00165D40">
            <w:pPr>
              <w:jc w:val="right"/>
              <w:rPr>
                <w:rFonts w:cs="Arial"/>
                <w:color w:val="000000"/>
                <w:szCs w:val="22"/>
                <w:lang w:val="en-GB" w:eastAsia="de-AT"/>
              </w:rPr>
            </w:pPr>
            <w:r w:rsidRPr="00E86984">
              <w:rPr>
                <w:rFonts w:cs="Arial"/>
                <w:color w:val="000000"/>
                <w:szCs w:val="22"/>
                <w:lang w:val="en-GB" w:eastAsia="de-AT"/>
              </w:rPr>
              <w:t> </w:t>
            </w:r>
          </w:p>
        </w:tc>
        <w:tc>
          <w:tcPr>
            <w:tcW w:w="821" w:type="dxa"/>
            <w:tcBorders>
              <w:top w:val="nil"/>
              <w:left w:val="nil"/>
              <w:bottom w:val="single" w:sz="4" w:space="0" w:color="auto"/>
              <w:right w:val="single" w:sz="4" w:space="0" w:color="auto"/>
            </w:tcBorders>
            <w:shd w:val="clear" w:color="auto" w:fill="auto"/>
            <w:noWrap/>
            <w:vAlign w:val="bottom"/>
            <w:hideMark/>
          </w:tcPr>
          <w:p w:rsidR="00DE6038" w:rsidRPr="00E86984" w:rsidRDefault="00C82003" w:rsidP="00165D40">
            <w:pPr>
              <w:jc w:val="right"/>
              <w:rPr>
                <w:rFonts w:cs="Arial"/>
                <w:color w:val="000000"/>
                <w:szCs w:val="22"/>
                <w:lang w:val="en-GB" w:eastAsia="de-AT"/>
              </w:rPr>
            </w:pPr>
            <w:r>
              <w:rPr>
                <w:rFonts w:cs="Arial"/>
                <w:color w:val="000000"/>
                <w:szCs w:val="22"/>
                <w:lang w:val="en-GB" w:eastAsia="de-AT"/>
              </w:rPr>
              <w:t>-1.58</w:t>
            </w:r>
          </w:p>
        </w:tc>
        <w:tc>
          <w:tcPr>
            <w:tcW w:w="914" w:type="dxa"/>
            <w:tcBorders>
              <w:top w:val="nil"/>
              <w:left w:val="nil"/>
              <w:bottom w:val="single" w:sz="4" w:space="0" w:color="auto"/>
              <w:right w:val="nil"/>
            </w:tcBorders>
            <w:shd w:val="clear" w:color="auto" w:fill="auto"/>
            <w:noWrap/>
            <w:vAlign w:val="bottom"/>
            <w:hideMark/>
          </w:tcPr>
          <w:p w:rsidR="00DE6038" w:rsidRPr="00E86984" w:rsidRDefault="00C82003" w:rsidP="00165D40">
            <w:pPr>
              <w:jc w:val="right"/>
              <w:rPr>
                <w:rFonts w:cs="Arial"/>
                <w:color w:val="000000"/>
                <w:szCs w:val="22"/>
                <w:lang w:val="en-GB" w:eastAsia="de-AT"/>
              </w:rPr>
            </w:pPr>
            <w:r>
              <w:rPr>
                <w:rFonts w:cs="Arial"/>
                <w:color w:val="000000"/>
                <w:szCs w:val="22"/>
                <w:lang w:val="en-GB" w:eastAsia="de-AT"/>
              </w:rPr>
              <w:t>3.69</w:t>
            </w:r>
          </w:p>
        </w:tc>
        <w:tc>
          <w:tcPr>
            <w:tcW w:w="865" w:type="dxa"/>
            <w:tcBorders>
              <w:top w:val="nil"/>
              <w:left w:val="single" w:sz="4" w:space="0" w:color="auto"/>
              <w:bottom w:val="single" w:sz="4" w:space="0" w:color="auto"/>
              <w:right w:val="single" w:sz="8" w:space="0" w:color="auto"/>
            </w:tcBorders>
            <w:shd w:val="clear" w:color="auto" w:fill="auto"/>
            <w:noWrap/>
            <w:vAlign w:val="bottom"/>
            <w:hideMark/>
          </w:tcPr>
          <w:p w:rsidR="00DE6038" w:rsidRPr="00E86984" w:rsidRDefault="00DE6038" w:rsidP="00165D40">
            <w:pPr>
              <w:jc w:val="right"/>
              <w:rPr>
                <w:rFonts w:cs="Arial"/>
                <w:color w:val="000000"/>
                <w:szCs w:val="22"/>
                <w:lang w:val="en-GB" w:eastAsia="de-AT"/>
              </w:rPr>
            </w:pPr>
            <w:r w:rsidRPr="00E86984">
              <w:rPr>
                <w:rFonts w:cs="Arial"/>
                <w:color w:val="000000"/>
                <w:szCs w:val="22"/>
                <w:lang w:val="en-GB" w:eastAsia="de-AT"/>
              </w:rPr>
              <w:t> </w:t>
            </w:r>
          </w:p>
        </w:tc>
      </w:tr>
      <w:tr w:rsidR="00DE6038" w:rsidRPr="007C5DD4" w:rsidTr="004A700C">
        <w:trPr>
          <w:trHeight w:val="300"/>
        </w:trPr>
        <w:tc>
          <w:tcPr>
            <w:tcW w:w="1403" w:type="dxa"/>
            <w:tcBorders>
              <w:top w:val="nil"/>
              <w:left w:val="single" w:sz="8" w:space="0" w:color="auto"/>
              <w:bottom w:val="single" w:sz="8" w:space="0" w:color="auto"/>
              <w:right w:val="nil"/>
            </w:tcBorders>
            <w:shd w:val="clear" w:color="auto" w:fill="auto"/>
            <w:noWrap/>
            <w:vAlign w:val="bottom"/>
            <w:hideMark/>
          </w:tcPr>
          <w:p w:rsidR="00DE6038" w:rsidRPr="00E86984" w:rsidRDefault="004A700C" w:rsidP="00165D40">
            <w:pPr>
              <w:jc w:val="left"/>
              <w:rPr>
                <w:rFonts w:cs="Arial"/>
                <w:color w:val="000000"/>
                <w:szCs w:val="22"/>
                <w:lang w:val="en-GB" w:eastAsia="de-AT"/>
              </w:rPr>
            </w:pPr>
            <w:r w:rsidRPr="00E86984">
              <w:rPr>
                <w:rFonts w:cs="Arial"/>
                <w:color w:val="000000"/>
                <w:szCs w:val="22"/>
                <w:lang w:val="en-GB" w:eastAsia="de-AT"/>
              </w:rPr>
              <w:t>M</w:t>
            </w:r>
            <w:r w:rsidR="00DE6038" w:rsidRPr="00E86984">
              <w:rPr>
                <w:rFonts w:cs="Arial"/>
                <w:color w:val="000000"/>
                <w:szCs w:val="22"/>
                <w:lang w:val="en-GB" w:eastAsia="de-AT"/>
              </w:rPr>
              <w:t>ean</w:t>
            </w:r>
            <w:r w:rsidRPr="00E86984">
              <w:rPr>
                <w:rFonts w:cs="Arial"/>
                <w:color w:val="000000"/>
                <w:szCs w:val="22"/>
                <w:lang w:val="en-GB" w:eastAsia="de-AT"/>
              </w:rPr>
              <w:t xml:space="preserve"> [GWh]</w:t>
            </w:r>
          </w:p>
        </w:tc>
        <w:tc>
          <w:tcPr>
            <w:tcW w:w="1186" w:type="dxa"/>
            <w:tcBorders>
              <w:top w:val="nil"/>
              <w:left w:val="single" w:sz="8" w:space="0" w:color="auto"/>
              <w:bottom w:val="single" w:sz="8" w:space="0" w:color="auto"/>
              <w:right w:val="single" w:sz="4" w:space="0" w:color="auto"/>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6.68</w:t>
            </w:r>
          </w:p>
        </w:tc>
        <w:tc>
          <w:tcPr>
            <w:tcW w:w="1031" w:type="dxa"/>
            <w:tcBorders>
              <w:top w:val="nil"/>
              <w:left w:val="nil"/>
              <w:bottom w:val="single" w:sz="8" w:space="0" w:color="auto"/>
              <w:right w:val="single" w:sz="4" w:space="0" w:color="auto"/>
            </w:tcBorders>
            <w:shd w:val="clear" w:color="auto" w:fill="auto"/>
            <w:noWrap/>
            <w:vAlign w:val="bottom"/>
            <w:hideMark/>
          </w:tcPr>
          <w:p w:rsidR="00DE6038" w:rsidRPr="00E86984" w:rsidRDefault="00750A87" w:rsidP="00165D40">
            <w:pPr>
              <w:jc w:val="right"/>
              <w:rPr>
                <w:rFonts w:cs="Arial"/>
                <w:color w:val="000000"/>
                <w:szCs w:val="22"/>
                <w:lang w:val="en-GB" w:eastAsia="de-AT"/>
              </w:rPr>
            </w:pPr>
            <w:r>
              <w:rPr>
                <w:rFonts w:cs="Arial"/>
                <w:color w:val="000000"/>
                <w:szCs w:val="22"/>
                <w:lang w:val="en-GB" w:eastAsia="de-AT"/>
              </w:rPr>
              <w:t>9.86</w:t>
            </w:r>
          </w:p>
        </w:tc>
        <w:tc>
          <w:tcPr>
            <w:tcW w:w="862" w:type="dxa"/>
            <w:tcBorders>
              <w:top w:val="nil"/>
              <w:left w:val="nil"/>
              <w:bottom w:val="single" w:sz="8" w:space="0" w:color="auto"/>
              <w:right w:val="single" w:sz="4" w:space="0" w:color="auto"/>
            </w:tcBorders>
            <w:shd w:val="clear" w:color="auto" w:fill="auto"/>
            <w:noWrap/>
            <w:vAlign w:val="bottom"/>
            <w:hideMark/>
          </w:tcPr>
          <w:p w:rsidR="00DE6038" w:rsidRPr="00E86984" w:rsidRDefault="00DE6038" w:rsidP="00165D40">
            <w:pPr>
              <w:jc w:val="right"/>
              <w:rPr>
                <w:rFonts w:cs="Arial"/>
                <w:color w:val="000000"/>
                <w:szCs w:val="22"/>
                <w:lang w:val="en-GB" w:eastAsia="de-AT"/>
              </w:rPr>
            </w:pPr>
            <w:r w:rsidRPr="00E86984">
              <w:rPr>
                <w:rFonts w:cs="Arial"/>
                <w:color w:val="000000"/>
                <w:szCs w:val="22"/>
                <w:lang w:val="en-GB" w:eastAsia="de-AT"/>
              </w:rPr>
              <w:t>7.02</w:t>
            </w:r>
          </w:p>
        </w:tc>
        <w:tc>
          <w:tcPr>
            <w:tcW w:w="821" w:type="dxa"/>
            <w:tcBorders>
              <w:top w:val="nil"/>
              <w:left w:val="nil"/>
              <w:bottom w:val="single" w:sz="8" w:space="0" w:color="auto"/>
              <w:right w:val="single" w:sz="4" w:space="0" w:color="auto"/>
            </w:tcBorders>
            <w:shd w:val="clear" w:color="auto" w:fill="auto"/>
            <w:noWrap/>
            <w:vAlign w:val="bottom"/>
            <w:hideMark/>
          </w:tcPr>
          <w:p w:rsidR="00DE6038" w:rsidRPr="00E86984" w:rsidRDefault="00C82003" w:rsidP="00165D40">
            <w:pPr>
              <w:jc w:val="right"/>
              <w:rPr>
                <w:rFonts w:cs="Arial"/>
                <w:color w:val="000000"/>
                <w:szCs w:val="22"/>
                <w:lang w:val="en-GB" w:eastAsia="de-AT"/>
              </w:rPr>
            </w:pPr>
            <w:r>
              <w:rPr>
                <w:rFonts w:cs="Arial"/>
                <w:color w:val="000000"/>
                <w:szCs w:val="22"/>
                <w:lang w:val="en-GB" w:eastAsia="de-AT"/>
              </w:rPr>
              <w:t>24.68</w:t>
            </w:r>
          </w:p>
        </w:tc>
        <w:tc>
          <w:tcPr>
            <w:tcW w:w="914" w:type="dxa"/>
            <w:tcBorders>
              <w:top w:val="nil"/>
              <w:left w:val="nil"/>
              <w:bottom w:val="single" w:sz="8" w:space="0" w:color="auto"/>
              <w:right w:val="single" w:sz="4" w:space="0" w:color="auto"/>
            </w:tcBorders>
            <w:shd w:val="clear" w:color="auto" w:fill="auto"/>
            <w:noWrap/>
            <w:vAlign w:val="bottom"/>
            <w:hideMark/>
          </w:tcPr>
          <w:p w:rsidR="00DE6038" w:rsidRPr="00E86984" w:rsidRDefault="00C82003" w:rsidP="00165D40">
            <w:pPr>
              <w:jc w:val="right"/>
              <w:rPr>
                <w:rFonts w:cs="Arial"/>
                <w:color w:val="000000"/>
                <w:szCs w:val="22"/>
                <w:lang w:val="en-GB" w:eastAsia="de-AT"/>
              </w:rPr>
            </w:pPr>
            <w:r>
              <w:rPr>
                <w:rFonts w:cs="Arial"/>
                <w:color w:val="000000"/>
                <w:szCs w:val="22"/>
                <w:lang w:val="en-GB" w:eastAsia="de-AT"/>
              </w:rPr>
              <w:t>29.95</w:t>
            </w:r>
          </w:p>
        </w:tc>
        <w:tc>
          <w:tcPr>
            <w:tcW w:w="865" w:type="dxa"/>
            <w:tcBorders>
              <w:top w:val="nil"/>
              <w:left w:val="nil"/>
              <w:bottom w:val="single" w:sz="8" w:space="0" w:color="auto"/>
              <w:right w:val="single" w:sz="8" w:space="0" w:color="auto"/>
            </w:tcBorders>
            <w:shd w:val="clear" w:color="auto" w:fill="auto"/>
            <w:noWrap/>
            <w:vAlign w:val="bottom"/>
            <w:hideMark/>
          </w:tcPr>
          <w:p w:rsidR="00DE6038" w:rsidRPr="00E86984" w:rsidRDefault="00C82003" w:rsidP="00165D40">
            <w:pPr>
              <w:jc w:val="right"/>
              <w:rPr>
                <w:rFonts w:cs="Arial"/>
                <w:color w:val="000000"/>
                <w:szCs w:val="22"/>
                <w:lang w:val="en-GB" w:eastAsia="de-AT"/>
              </w:rPr>
            </w:pPr>
            <w:r>
              <w:rPr>
                <w:rFonts w:cs="Arial"/>
                <w:color w:val="000000"/>
                <w:szCs w:val="22"/>
                <w:lang w:val="en-GB" w:eastAsia="de-AT"/>
              </w:rPr>
              <w:t>26.26</w:t>
            </w:r>
          </w:p>
        </w:tc>
      </w:tr>
    </w:tbl>
    <w:p w:rsidR="00DE6038" w:rsidRPr="0082199C" w:rsidRDefault="00DE6038" w:rsidP="00227125">
      <w:pPr>
        <w:rPr>
          <w:lang w:val="en-GB"/>
        </w:rPr>
      </w:pPr>
    </w:p>
    <w:p w:rsidR="00803917" w:rsidRPr="0082199C" w:rsidRDefault="007804A3" w:rsidP="00227125">
      <w:pPr>
        <w:rPr>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77.35pt;height:179.05pt">
            <v:imagedata r:id="rId7" o:title="" croptop="3347f" cropbottom="772f"/>
          </v:shape>
        </w:pict>
      </w:r>
    </w:p>
    <w:p w:rsidR="00803917" w:rsidRPr="0082199C" w:rsidRDefault="0097048B" w:rsidP="00D53E86">
      <w:pPr>
        <w:pStyle w:val="Abbildungsbeschriftung"/>
        <w:rPr>
          <w:lang w:val="en-GB"/>
        </w:rPr>
      </w:pPr>
      <w:r w:rsidRPr="0082199C">
        <w:rPr>
          <w:lang w:val="en-GB"/>
        </w:rPr>
        <w:t>Figure</w:t>
      </w:r>
      <w:r w:rsidR="00803917" w:rsidRPr="0082199C">
        <w:rPr>
          <w:lang w:val="en-GB"/>
        </w:rPr>
        <w:t xml:space="preserve"> 1: </w:t>
      </w:r>
      <w:r w:rsidR="00602B64" w:rsidRPr="0082199C">
        <w:rPr>
          <w:lang w:val="en-GB"/>
        </w:rPr>
        <w:t>Comparison of observed (</w:t>
      </w:r>
      <w:proofErr w:type="spellStart"/>
      <w:r w:rsidR="00602B64" w:rsidRPr="0082199C">
        <w:rPr>
          <w:lang w:val="en-GB"/>
        </w:rPr>
        <w:t>obs</w:t>
      </w:r>
      <w:proofErr w:type="spellEnd"/>
      <w:r w:rsidR="00602B64" w:rsidRPr="0082199C">
        <w:rPr>
          <w:lang w:val="en-GB"/>
        </w:rPr>
        <w:t xml:space="preserve">, data by </w:t>
      </w:r>
      <w:proofErr w:type="spellStart"/>
      <w:r w:rsidR="00602B64" w:rsidRPr="0082199C">
        <w:rPr>
          <w:lang w:val="en-GB"/>
        </w:rPr>
        <w:t>OeMAG</w:t>
      </w:r>
      <w:proofErr w:type="spellEnd"/>
      <w:r w:rsidR="00602B64" w:rsidRPr="0082199C">
        <w:rPr>
          <w:lang w:val="en-GB"/>
        </w:rPr>
        <w:t xml:space="preserve">) and simulated </w:t>
      </w:r>
      <w:r w:rsidR="00427E97" w:rsidRPr="0082199C">
        <w:rPr>
          <w:lang w:val="en-GB"/>
        </w:rPr>
        <w:t xml:space="preserve">daily </w:t>
      </w:r>
      <w:r w:rsidR="00602B64" w:rsidRPr="0082199C">
        <w:rPr>
          <w:lang w:val="en-GB"/>
        </w:rPr>
        <w:t>wind power generation with (</w:t>
      </w:r>
      <w:proofErr w:type="spellStart"/>
      <w:r w:rsidR="00602B64" w:rsidRPr="0082199C">
        <w:rPr>
          <w:lang w:val="en-GB"/>
        </w:rPr>
        <w:t>wpc</w:t>
      </w:r>
      <w:proofErr w:type="spellEnd"/>
      <w:r w:rsidR="00602B64" w:rsidRPr="0082199C">
        <w:rPr>
          <w:lang w:val="en-GB"/>
        </w:rPr>
        <w:t>) and without (</w:t>
      </w:r>
      <w:proofErr w:type="spellStart"/>
      <w:r w:rsidR="00602B64" w:rsidRPr="0082199C">
        <w:rPr>
          <w:lang w:val="en-GB"/>
        </w:rPr>
        <w:t>wp</w:t>
      </w:r>
      <w:proofErr w:type="spellEnd"/>
      <w:r w:rsidR="00602B64" w:rsidRPr="0082199C">
        <w:rPr>
          <w:lang w:val="en-GB"/>
        </w:rPr>
        <w:t>) Wind Atlas mean wind speed correction in Austria</w:t>
      </w:r>
    </w:p>
    <w:p w:rsidR="002946B8" w:rsidRPr="0082199C" w:rsidRDefault="002946B8" w:rsidP="00227125">
      <w:pPr>
        <w:rPr>
          <w:lang w:val="en-GB"/>
        </w:rPr>
      </w:pPr>
    </w:p>
    <w:p w:rsidR="00FD6032" w:rsidRPr="0082199C" w:rsidRDefault="00FD6032" w:rsidP="00227125">
      <w:pPr>
        <w:rPr>
          <w:lang w:val="en-GB"/>
        </w:rPr>
      </w:pPr>
    </w:p>
    <w:p w:rsidR="00FD6032" w:rsidRPr="0082199C" w:rsidRDefault="00B32A6E" w:rsidP="00227125">
      <w:pPr>
        <w:rPr>
          <w:lang w:val="en-GB"/>
        </w:rPr>
      </w:pPr>
      <w:r>
        <w:pict>
          <v:shape id="_x0000_i1037" type="#_x0000_t75" style="width:279.85pt;height:179.7pt">
            <v:imagedata r:id="rId8" o:title="" croptop="3420f" cropbottom="802f"/>
          </v:shape>
        </w:pict>
      </w:r>
    </w:p>
    <w:p w:rsidR="00BD0898" w:rsidRPr="0082199C" w:rsidRDefault="00B129D0" w:rsidP="008B713B">
      <w:pPr>
        <w:pStyle w:val="Abbildungsbeschriftung"/>
        <w:rPr>
          <w:lang w:val="en-GB"/>
        </w:rPr>
      </w:pPr>
      <w:r w:rsidRPr="0082199C">
        <w:rPr>
          <w:lang w:val="en-GB"/>
        </w:rPr>
        <w:t xml:space="preserve">Figure </w:t>
      </w:r>
      <w:r w:rsidR="00304D3B" w:rsidRPr="0082199C">
        <w:rPr>
          <w:lang w:val="en-GB"/>
        </w:rPr>
        <w:t>2</w:t>
      </w:r>
      <w:r w:rsidRPr="0082199C">
        <w:rPr>
          <w:lang w:val="en-GB"/>
        </w:rPr>
        <w:t>: Comparison of observed (</w:t>
      </w:r>
      <w:proofErr w:type="spellStart"/>
      <w:r w:rsidRPr="0082199C">
        <w:rPr>
          <w:lang w:val="en-GB"/>
        </w:rPr>
        <w:t>obs</w:t>
      </w:r>
      <w:proofErr w:type="spellEnd"/>
      <w:r w:rsidRPr="0082199C">
        <w:rPr>
          <w:lang w:val="en-GB"/>
        </w:rPr>
        <w:t xml:space="preserve">, data by </w:t>
      </w:r>
      <w:r w:rsidR="00A47761" w:rsidRPr="0082199C">
        <w:rPr>
          <w:lang w:val="en-GB"/>
        </w:rPr>
        <w:t>ONS</w:t>
      </w:r>
      <w:r w:rsidRPr="0082199C">
        <w:rPr>
          <w:lang w:val="en-GB"/>
        </w:rPr>
        <w:t xml:space="preserve">) and simulated </w:t>
      </w:r>
      <w:r w:rsidR="00427E97" w:rsidRPr="0082199C">
        <w:rPr>
          <w:lang w:val="en-GB"/>
        </w:rPr>
        <w:t xml:space="preserve">daily </w:t>
      </w:r>
      <w:r w:rsidRPr="0082199C">
        <w:rPr>
          <w:lang w:val="en-GB"/>
        </w:rPr>
        <w:t>wind power generation with (</w:t>
      </w:r>
      <w:proofErr w:type="spellStart"/>
      <w:r w:rsidRPr="0082199C">
        <w:rPr>
          <w:lang w:val="en-GB"/>
        </w:rPr>
        <w:t>wpc</w:t>
      </w:r>
      <w:proofErr w:type="spellEnd"/>
      <w:r w:rsidRPr="0082199C">
        <w:rPr>
          <w:lang w:val="en-GB"/>
        </w:rPr>
        <w:t>) and without (</w:t>
      </w:r>
      <w:proofErr w:type="spellStart"/>
      <w:r w:rsidRPr="0082199C">
        <w:rPr>
          <w:lang w:val="en-GB"/>
        </w:rPr>
        <w:t>wp</w:t>
      </w:r>
      <w:proofErr w:type="spellEnd"/>
      <w:r w:rsidRPr="0082199C">
        <w:rPr>
          <w:lang w:val="en-GB"/>
        </w:rPr>
        <w:t xml:space="preserve">) Wind Atlas mean wind speed correction in </w:t>
      </w:r>
      <w:r w:rsidR="00A47761" w:rsidRPr="0082199C">
        <w:rPr>
          <w:lang w:val="en-GB"/>
        </w:rPr>
        <w:t>Brazil</w:t>
      </w:r>
    </w:p>
    <w:p w:rsidR="005E4D4F" w:rsidRPr="0082199C" w:rsidRDefault="005E4D4F" w:rsidP="00A156E4">
      <w:pPr>
        <w:pStyle w:val="Ueberschrift"/>
        <w:rPr>
          <w:lang w:val="en-GB"/>
        </w:rPr>
      </w:pPr>
      <w:bookmarkStart w:id="1" w:name="_Toc26086066"/>
      <w:bookmarkStart w:id="2" w:name="_Toc68418491"/>
      <w:proofErr w:type="spellStart"/>
      <w:r w:rsidRPr="0082199C">
        <w:rPr>
          <w:lang w:val="en-GB"/>
        </w:rPr>
        <w:t>Literatur</w:t>
      </w:r>
      <w:bookmarkEnd w:id="1"/>
      <w:bookmarkEnd w:id="2"/>
      <w:proofErr w:type="spellEnd"/>
    </w:p>
    <w:p w:rsidR="005E4D4F" w:rsidRPr="0082199C" w:rsidRDefault="00483B87" w:rsidP="00227125">
      <w:pPr>
        <w:pStyle w:val="Literatur"/>
        <w:rPr>
          <w:lang w:val="en-GB"/>
        </w:rPr>
      </w:pPr>
      <w:r w:rsidRPr="0082199C">
        <w:rPr>
          <w:lang w:val="en-GB"/>
        </w:rPr>
        <w:t>[1]</w:t>
      </w:r>
      <w:r w:rsidRPr="0082199C">
        <w:rPr>
          <w:lang w:val="en-GB"/>
        </w:rPr>
        <w:tab/>
      </w:r>
      <w:r w:rsidR="00757F55" w:rsidRPr="0082199C">
        <w:rPr>
          <w:lang w:val="en-GB"/>
        </w:rPr>
        <w:t xml:space="preserve">S. </w:t>
      </w:r>
      <w:proofErr w:type="spellStart"/>
      <w:r w:rsidR="00757F55" w:rsidRPr="0082199C">
        <w:rPr>
          <w:lang w:val="en-GB"/>
        </w:rPr>
        <w:t>Pfenninger</w:t>
      </w:r>
      <w:proofErr w:type="spellEnd"/>
      <w:r w:rsidR="00757F55" w:rsidRPr="0082199C">
        <w:rPr>
          <w:lang w:val="en-GB"/>
        </w:rPr>
        <w:t xml:space="preserve"> and I. </w:t>
      </w:r>
      <w:proofErr w:type="spellStart"/>
      <w:r w:rsidR="00757F55" w:rsidRPr="0082199C">
        <w:rPr>
          <w:lang w:val="en-GB"/>
        </w:rPr>
        <w:t>Staffell</w:t>
      </w:r>
      <w:proofErr w:type="spellEnd"/>
      <w:r w:rsidR="00757F55" w:rsidRPr="0082199C">
        <w:rPr>
          <w:lang w:val="en-GB"/>
        </w:rPr>
        <w:t>, “Using bias-corrected reanalysis to simulate current and future wind power output,” Energy, pp. 1224-1239, November 2016.</w:t>
      </w:r>
    </w:p>
    <w:p w:rsidR="00010E92" w:rsidRPr="0082199C" w:rsidRDefault="00483B87" w:rsidP="00227125">
      <w:pPr>
        <w:pStyle w:val="Literatur"/>
        <w:rPr>
          <w:lang w:val="en-GB"/>
        </w:rPr>
      </w:pPr>
      <w:r w:rsidRPr="0082199C">
        <w:rPr>
          <w:lang w:val="en-GB"/>
        </w:rPr>
        <w:t>[2]</w:t>
      </w:r>
      <w:r w:rsidRPr="0082199C">
        <w:rPr>
          <w:lang w:val="en-GB"/>
        </w:rPr>
        <w:tab/>
      </w:r>
      <w:r w:rsidR="00B67F54" w:rsidRPr="0082199C">
        <w:rPr>
          <w:lang w:val="en-GB"/>
        </w:rPr>
        <w:t xml:space="preserve">S. </w:t>
      </w:r>
      <w:proofErr w:type="spellStart"/>
      <w:r w:rsidR="00B67F54" w:rsidRPr="0082199C">
        <w:rPr>
          <w:lang w:val="en-GB"/>
        </w:rPr>
        <w:t>Pfenninger</w:t>
      </w:r>
      <w:proofErr w:type="spellEnd"/>
      <w:r w:rsidR="00B67F54" w:rsidRPr="0082199C">
        <w:rPr>
          <w:lang w:val="en-GB"/>
        </w:rPr>
        <w:t xml:space="preserve"> and I. </w:t>
      </w:r>
      <w:proofErr w:type="spellStart"/>
      <w:r w:rsidR="00B67F54" w:rsidRPr="0082199C">
        <w:rPr>
          <w:lang w:val="en-GB"/>
        </w:rPr>
        <w:t>Staffell</w:t>
      </w:r>
      <w:proofErr w:type="spellEnd"/>
      <w:r w:rsidR="00B67F54" w:rsidRPr="0082199C">
        <w:rPr>
          <w:lang w:val="en-GB"/>
        </w:rPr>
        <w:t>, “Long-term patterns of European PV output using 30 years of validated hourly reanalysis and satellite data,” Energy, pp. 1251-1265, November 2016.</w:t>
      </w:r>
    </w:p>
    <w:p w:rsidR="002A2D55" w:rsidRPr="0082199C" w:rsidRDefault="002A2D55" w:rsidP="00227125">
      <w:pPr>
        <w:pStyle w:val="Literatur"/>
        <w:rPr>
          <w:lang w:val="en-GB"/>
        </w:rPr>
      </w:pPr>
      <w:r w:rsidRPr="0082199C">
        <w:rPr>
          <w:lang w:val="en-GB"/>
        </w:rPr>
        <w:t>[3] L. Bengtsson, S. Hagemann and K. I. Hodges, “Can climate trends be calculated from reanalysis data?,” Journal of Geophysical Research, 16 June 2004.</w:t>
      </w:r>
    </w:p>
    <w:p w:rsidR="005E4D4F" w:rsidRPr="0082199C" w:rsidRDefault="001B74E5" w:rsidP="00227125">
      <w:pPr>
        <w:pStyle w:val="Literatur"/>
        <w:rPr>
          <w:lang w:val="en-GB"/>
        </w:rPr>
      </w:pPr>
      <w:r w:rsidRPr="0082199C">
        <w:rPr>
          <w:lang w:val="en-GB"/>
        </w:rPr>
        <w:t xml:space="preserve">[4] D. J. Cannon, D. J. </w:t>
      </w:r>
      <w:proofErr w:type="spellStart"/>
      <w:r w:rsidRPr="0082199C">
        <w:rPr>
          <w:lang w:val="en-GB"/>
        </w:rPr>
        <w:t>Baryshaw</w:t>
      </w:r>
      <w:proofErr w:type="spellEnd"/>
      <w:r w:rsidRPr="0082199C">
        <w:rPr>
          <w:lang w:val="en-GB"/>
        </w:rPr>
        <w:t xml:space="preserve">, J. Methven, P. J. Coker and D. </w:t>
      </w:r>
      <w:proofErr w:type="spellStart"/>
      <w:r w:rsidRPr="0082199C">
        <w:rPr>
          <w:lang w:val="en-GB"/>
        </w:rPr>
        <w:t>Lenaghan</w:t>
      </w:r>
      <w:proofErr w:type="spellEnd"/>
      <w:r w:rsidRPr="0082199C">
        <w:rPr>
          <w:lang w:val="en-GB"/>
        </w:rPr>
        <w:t>, “Using reanalysis data to quantify extreme wind power generation statistics: A 33 year case study in Great Britain,” Renewable Energy, pp. 767-778, March 2015.</w:t>
      </w:r>
    </w:p>
    <w:p w:rsidR="004D568E" w:rsidRPr="0082199C" w:rsidRDefault="00712826" w:rsidP="00227125">
      <w:pPr>
        <w:pStyle w:val="Literatur"/>
        <w:rPr>
          <w:lang w:val="en-GB"/>
        </w:rPr>
      </w:pPr>
      <w:r w:rsidRPr="0082199C">
        <w:rPr>
          <w:lang w:val="en-GB"/>
        </w:rPr>
        <w:t xml:space="preserve">[5] </w:t>
      </w:r>
      <w:r w:rsidR="00C343CA" w:rsidRPr="0082199C">
        <w:rPr>
          <w:lang w:val="en-GB"/>
        </w:rPr>
        <w:t>ECMWF, „</w:t>
      </w:r>
      <w:r w:rsidRPr="0082199C">
        <w:rPr>
          <w:lang w:val="en-GB"/>
        </w:rPr>
        <w:t>ERA5</w:t>
      </w:r>
      <w:r w:rsidR="00C343CA" w:rsidRPr="0082199C">
        <w:rPr>
          <w:lang w:val="en-GB"/>
        </w:rPr>
        <w:t>“, 06 11 2018. [Online]. Available: https://www.ecmwf.int/en/forecasts/datasets/archive-datasets/reanalysis-datasets/era5</w:t>
      </w:r>
    </w:p>
    <w:p w:rsidR="0033079D" w:rsidRPr="00A97596" w:rsidRDefault="0033079D" w:rsidP="00227125">
      <w:pPr>
        <w:pStyle w:val="Literatur"/>
        <w:rPr>
          <w:lang w:val="pt-BR"/>
        </w:rPr>
      </w:pPr>
      <w:r w:rsidRPr="0082199C">
        <w:rPr>
          <w:lang w:val="en-GB"/>
        </w:rPr>
        <w:t xml:space="preserve">[6] </w:t>
      </w:r>
      <w:r w:rsidR="002B359D" w:rsidRPr="0082199C">
        <w:rPr>
          <w:lang w:val="en-GB"/>
        </w:rPr>
        <w:t xml:space="preserve">IRENA, „DTU Global </w:t>
      </w:r>
      <w:r w:rsidRPr="0082199C">
        <w:rPr>
          <w:lang w:val="en-GB"/>
        </w:rPr>
        <w:t>Wind Atlas</w:t>
      </w:r>
      <w:r w:rsidR="002B359D" w:rsidRPr="0082199C">
        <w:rPr>
          <w:lang w:val="en-GB"/>
        </w:rPr>
        <w:t xml:space="preserve"> 1 km resolution“, 06 11 2018 [Online]. </w:t>
      </w:r>
      <w:r w:rsidR="002B359D" w:rsidRPr="00A97596">
        <w:rPr>
          <w:lang w:val="pt-BR"/>
        </w:rPr>
        <w:t>Available: https://irena.masdar.ac.ae/gallery/#map/103</w:t>
      </w:r>
    </w:p>
    <w:p w:rsidR="00B56240" w:rsidRPr="0082199C" w:rsidRDefault="00B56240" w:rsidP="00B56240">
      <w:pPr>
        <w:pStyle w:val="Literatur"/>
        <w:rPr>
          <w:lang w:val="en-GB"/>
        </w:rPr>
      </w:pPr>
      <w:r w:rsidRPr="00A97596">
        <w:rPr>
          <w:lang w:val="pt-BR"/>
        </w:rPr>
        <w:t>[7] ONS</w:t>
      </w:r>
      <w:r w:rsidR="00561774" w:rsidRPr="00A97596">
        <w:rPr>
          <w:lang w:val="pt-BR"/>
        </w:rPr>
        <w:t xml:space="preserve">, „geração de energia“, 06 11 2018. </w:t>
      </w:r>
      <w:r w:rsidR="00561774" w:rsidRPr="0082199C">
        <w:rPr>
          <w:lang w:val="en-GB"/>
        </w:rPr>
        <w:t xml:space="preserve">[Online]. </w:t>
      </w:r>
      <w:proofErr w:type="spellStart"/>
      <w:r w:rsidR="00561774" w:rsidRPr="0082199C">
        <w:rPr>
          <w:lang w:val="en-GB"/>
        </w:rPr>
        <w:t>Avaiable</w:t>
      </w:r>
      <w:proofErr w:type="spellEnd"/>
      <w:r w:rsidR="00561774" w:rsidRPr="0082199C">
        <w:rPr>
          <w:lang w:val="en-GB"/>
        </w:rPr>
        <w:t xml:space="preserve">: </w:t>
      </w:r>
      <w:r w:rsidR="0030428F" w:rsidRPr="0082199C">
        <w:rPr>
          <w:lang w:val="en-GB"/>
        </w:rPr>
        <w:t>http://ons.org.br/Paginas/resultados-da-operacao/historico-da-operacao/geracao_energia.aspx</w:t>
      </w:r>
    </w:p>
    <w:p w:rsidR="00B56240" w:rsidRPr="00A97596" w:rsidRDefault="00B56240" w:rsidP="00B56240">
      <w:pPr>
        <w:pStyle w:val="Literatur"/>
        <w:rPr>
          <w:lang w:val="de-AT"/>
        </w:rPr>
      </w:pPr>
      <w:r w:rsidRPr="00A97596">
        <w:rPr>
          <w:lang w:val="de-AT"/>
        </w:rPr>
        <w:t xml:space="preserve">[8] </w:t>
      </w:r>
      <w:proofErr w:type="spellStart"/>
      <w:r w:rsidRPr="00A97596">
        <w:rPr>
          <w:lang w:val="de-AT"/>
        </w:rPr>
        <w:t>OeMAG</w:t>
      </w:r>
      <w:proofErr w:type="spellEnd"/>
      <w:r w:rsidR="00BD0ADE" w:rsidRPr="00A97596">
        <w:rPr>
          <w:lang w:val="de-AT"/>
        </w:rPr>
        <w:t xml:space="preserve">, „Winderzeugung“, 06 11 2018. [Online]. </w:t>
      </w:r>
      <w:r w:rsidR="00BD0ADE" w:rsidRPr="00092472">
        <w:rPr>
          <w:lang w:val="de-AT"/>
        </w:rPr>
        <w:t>Available: https://www.oem-ag.at/de/oekostromneu/winderzeugung/</w:t>
      </w:r>
    </w:p>
    <w:sectPr w:rsidR="00B56240" w:rsidRPr="00A975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0EF" w:rsidRDefault="007E50EF">
      <w:r>
        <w:separator/>
      </w:r>
    </w:p>
  </w:endnote>
  <w:endnote w:type="continuationSeparator" w:id="0">
    <w:p w:rsidR="007E50EF" w:rsidRDefault="007E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0EF" w:rsidRDefault="007E50EF">
      <w:r>
        <w:separator/>
      </w:r>
    </w:p>
  </w:footnote>
  <w:footnote w:type="continuationSeparator" w:id="0">
    <w:p w:rsidR="007E50EF" w:rsidRDefault="007E50EF">
      <w:r>
        <w:continuationSeparator/>
      </w:r>
    </w:p>
  </w:footnote>
  <w:footnote w:id="1">
    <w:p w:rsidR="00D53E86" w:rsidRPr="00FB69AE" w:rsidRDefault="00D53E86" w:rsidP="002014D3">
      <w:r w:rsidRPr="00A115D2">
        <w:rPr>
          <w:rStyle w:val="Funotenzeichen"/>
        </w:rPr>
        <w:footnoteRef/>
      </w:r>
      <w:r w:rsidRPr="00D53E86">
        <w:t xml:space="preserve"> </w:t>
      </w:r>
      <w:r w:rsidR="00BC2577">
        <w:t xml:space="preserve">Jungautor. </w:t>
      </w:r>
      <w:r w:rsidR="004D27D0">
        <w:t>Feistmantelstraße 4, 1180 Wien</w:t>
      </w:r>
      <w:r w:rsidR="00E520E6">
        <w:t xml:space="preserve">, </w:t>
      </w:r>
      <w:r w:rsidR="004D27D0" w:rsidRPr="004D27D0">
        <w:t>+43 1 47654-73128</w:t>
      </w:r>
      <w:r w:rsidR="00A6148D">
        <w:t>,</w:t>
      </w:r>
      <w:r w:rsidR="00FD5D56">
        <w:t xml:space="preserve"> </w:t>
      </w:r>
      <w:r w:rsidR="004D27D0">
        <w:t>katharina.gruber@boku.ac.at</w:t>
      </w:r>
      <w:r>
        <w:t>, Web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4D4F"/>
    <w:rsid w:val="00010E92"/>
    <w:rsid w:val="00056535"/>
    <w:rsid w:val="00092472"/>
    <w:rsid w:val="000F43F5"/>
    <w:rsid w:val="000F5010"/>
    <w:rsid w:val="0014490B"/>
    <w:rsid w:val="00165D40"/>
    <w:rsid w:val="001B74E5"/>
    <w:rsid w:val="001B7C4E"/>
    <w:rsid w:val="001C00B6"/>
    <w:rsid w:val="002014D3"/>
    <w:rsid w:val="00227125"/>
    <w:rsid w:val="00233F3F"/>
    <w:rsid w:val="00256897"/>
    <w:rsid w:val="00257ECB"/>
    <w:rsid w:val="00262FD5"/>
    <w:rsid w:val="00265B84"/>
    <w:rsid w:val="002905B1"/>
    <w:rsid w:val="002946B8"/>
    <w:rsid w:val="002A2D55"/>
    <w:rsid w:val="002B359D"/>
    <w:rsid w:val="002E7B85"/>
    <w:rsid w:val="0030428F"/>
    <w:rsid w:val="00304D3B"/>
    <w:rsid w:val="00321C69"/>
    <w:rsid w:val="0033079D"/>
    <w:rsid w:val="00350F98"/>
    <w:rsid w:val="00361B77"/>
    <w:rsid w:val="0038601F"/>
    <w:rsid w:val="003B676F"/>
    <w:rsid w:val="003C175F"/>
    <w:rsid w:val="003C28FE"/>
    <w:rsid w:val="003D1B97"/>
    <w:rsid w:val="003F65F7"/>
    <w:rsid w:val="00427E97"/>
    <w:rsid w:val="0047036F"/>
    <w:rsid w:val="00483B87"/>
    <w:rsid w:val="004965D5"/>
    <w:rsid w:val="004A700C"/>
    <w:rsid w:val="004D27D0"/>
    <w:rsid w:val="004D568E"/>
    <w:rsid w:val="004F0DDB"/>
    <w:rsid w:val="00527C01"/>
    <w:rsid w:val="00552AB4"/>
    <w:rsid w:val="00561774"/>
    <w:rsid w:val="0056707C"/>
    <w:rsid w:val="00583C6C"/>
    <w:rsid w:val="00593A0D"/>
    <w:rsid w:val="005B1ADB"/>
    <w:rsid w:val="005E4D4F"/>
    <w:rsid w:val="00602B64"/>
    <w:rsid w:val="00611307"/>
    <w:rsid w:val="0062746C"/>
    <w:rsid w:val="00655643"/>
    <w:rsid w:val="006C6BD9"/>
    <w:rsid w:val="006D3C51"/>
    <w:rsid w:val="006E47A4"/>
    <w:rsid w:val="006E7227"/>
    <w:rsid w:val="00712826"/>
    <w:rsid w:val="007354D2"/>
    <w:rsid w:val="007378C8"/>
    <w:rsid w:val="00741EC0"/>
    <w:rsid w:val="0074696E"/>
    <w:rsid w:val="00747DE4"/>
    <w:rsid w:val="00750A87"/>
    <w:rsid w:val="0075334D"/>
    <w:rsid w:val="00757F55"/>
    <w:rsid w:val="007601FE"/>
    <w:rsid w:val="007804A3"/>
    <w:rsid w:val="00781812"/>
    <w:rsid w:val="007C304A"/>
    <w:rsid w:val="007C5DD4"/>
    <w:rsid w:val="007D3DC9"/>
    <w:rsid w:val="007E50EF"/>
    <w:rsid w:val="007F6B7E"/>
    <w:rsid w:val="008003C2"/>
    <w:rsid w:val="00803917"/>
    <w:rsid w:val="0082199C"/>
    <w:rsid w:val="008B713B"/>
    <w:rsid w:val="008B7A1A"/>
    <w:rsid w:val="00906167"/>
    <w:rsid w:val="009274E0"/>
    <w:rsid w:val="00952378"/>
    <w:rsid w:val="00952B90"/>
    <w:rsid w:val="0097048B"/>
    <w:rsid w:val="00A07737"/>
    <w:rsid w:val="00A156E4"/>
    <w:rsid w:val="00A318D9"/>
    <w:rsid w:val="00A47761"/>
    <w:rsid w:val="00A6148D"/>
    <w:rsid w:val="00A719A6"/>
    <w:rsid w:val="00A878DF"/>
    <w:rsid w:val="00A97596"/>
    <w:rsid w:val="00AC68DC"/>
    <w:rsid w:val="00AD46BD"/>
    <w:rsid w:val="00AD76D0"/>
    <w:rsid w:val="00AF18EC"/>
    <w:rsid w:val="00B02413"/>
    <w:rsid w:val="00B0248F"/>
    <w:rsid w:val="00B1270A"/>
    <w:rsid w:val="00B129D0"/>
    <w:rsid w:val="00B17F39"/>
    <w:rsid w:val="00B32A6E"/>
    <w:rsid w:val="00B33CEF"/>
    <w:rsid w:val="00B56240"/>
    <w:rsid w:val="00B67F54"/>
    <w:rsid w:val="00BA2B6F"/>
    <w:rsid w:val="00BA40EB"/>
    <w:rsid w:val="00BC2577"/>
    <w:rsid w:val="00BC39A3"/>
    <w:rsid w:val="00BD0898"/>
    <w:rsid w:val="00BD0ADE"/>
    <w:rsid w:val="00BD49A4"/>
    <w:rsid w:val="00BF05FA"/>
    <w:rsid w:val="00C343CA"/>
    <w:rsid w:val="00C41182"/>
    <w:rsid w:val="00C44BA7"/>
    <w:rsid w:val="00C82003"/>
    <w:rsid w:val="00CC216A"/>
    <w:rsid w:val="00CC576C"/>
    <w:rsid w:val="00CE1A70"/>
    <w:rsid w:val="00D16C9F"/>
    <w:rsid w:val="00D36927"/>
    <w:rsid w:val="00D53E86"/>
    <w:rsid w:val="00D5413E"/>
    <w:rsid w:val="00D616D9"/>
    <w:rsid w:val="00D736F8"/>
    <w:rsid w:val="00D80216"/>
    <w:rsid w:val="00D81C3C"/>
    <w:rsid w:val="00DC1320"/>
    <w:rsid w:val="00DC6BE0"/>
    <w:rsid w:val="00DD652D"/>
    <w:rsid w:val="00DE6038"/>
    <w:rsid w:val="00E3377D"/>
    <w:rsid w:val="00E520E6"/>
    <w:rsid w:val="00E5418C"/>
    <w:rsid w:val="00E57458"/>
    <w:rsid w:val="00E80172"/>
    <w:rsid w:val="00E86984"/>
    <w:rsid w:val="00EA0CA0"/>
    <w:rsid w:val="00F01020"/>
    <w:rsid w:val="00F144E8"/>
    <w:rsid w:val="00F4704A"/>
    <w:rsid w:val="00F518A5"/>
    <w:rsid w:val="00F6650D"/>
    <w:rsid w:val="00FB69AE"/>
    <w:rsid w:val="00FD5D56"/>
    <w:rsid w:val="00FD60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6407"/>
  <w15:chartTrackingRefBased/>
  <w15:docId w15:val="{87E6F9A3-19B8-4C36-98FB-1A8BE3AB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092472"/>
    <w:rPr>
      <w:color w:val="0563C1"/>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NichtaufgelsteErwhnung">
    <w:name w:val="Unresolved Mention"/>
    <w:uiPriority w:val="99"/>
    <w:semiHidden/>
    <w:unhideWhenUsed/>
    <w:rsid w:val="00092472"/>
    <w:rPr>
      <w:color w:val="605E5C"/>
      <w:shd w:val="clear" w:color="auto" w:fill="E1DFDD"/>
    </w:rPr>
  </w:style>
  <w:style w:type="paragraph" w:styleId="Sprechblasentext">
    <w:name w:val="Balloon Text"/>
    <w:basedOn w:val="Standard"/>
    <w:link w:val="SprechblasentextZchn"/>
    <w:uiPriority w:val="99"/>
    <w:semiHidden/>
    <w:unhideWhenUsed/>
    <w:rsid w:val="00092472"/>
    <w:rPr>
      <w:rFonts w:ascii="Segoe UI" w:hAnsi="Segoe UI" w:cs="Segoe UI"/>
      <w:sz w:val="18"/>
      <w:szCs w:val="18"/>
    </w:rPr>
  </w:style>
  <w:style w:type="paragraph" w:customStyle="1" w:styleId="Literatur">
    <w:name w:val="Literatur"/>
    <w:basedOn w:val="Standard"/>
    <w:rsid w:val="005E4D4F"/>
    <w:pPr>
      <w:ind w:left="284" w:hanging="284"/>
    </w:pPr>
    <w:rPr>
      <w:rFonts w:cs="Arial"/>
      <w:szCs w:val="20"/>
      <w:lang w:eastAsia="de-DE"/>
    </w:rPr>
  </w:style>
  <w:style w:type="character" w:customStyle="1" w:styleId="SprechblasentextZchn">
    <w:name w:val="Sprechblasentext Zchn"/>
    <w:link w:val="Sprechblasentext"/>
    <w:uiPriority w:val="99"/>
    <w:semiHidden/>
    <w:rsid w:val="00092472"/>
    <w:rPr>
      <w:rFonts w:ascii="Segoe UI" w:hAnsi="Segoe UI" w:cs="Segoe UI"/>
      <w:sz w:val="18"/>
      <w:szCs w:val="18"/>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6500">
      <w:bodyDiv w:val="1"/>
      <w:marLeft w:val="0"/>
      <w:marRight w:val="0"/>
      <w:marTop w:val="0"/>
      <w:marBottom w:val="0"/>
      <w:divBdr>
        <w:top w:val="none" w:sz="0" w:space="0" w:color="auto"/>
        <w:left w:val="none" w:sz="0" w:space="0" w:color="auto"/>
        <w:bottom w:val="none" w:sz="0" w:space="0" w:color="auto"/>
        <w:right w:val="none" w:sz="0" w:space="0" w:color="auto"/>
      </w:divBdr>
    </w:div>
    <w:div w:id="7073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Katharina Gruber</cp:lastModifiedBy>
  <cp:revision>13</cp:revision>
  <dcterms:created xsi:type="dcterms:W3CDTF">2018-11-06T16:08:00Z</dcterms:created>
  <dcterms:modified xsi:type="dcterms:W3CDTF">2019-01-04T09:13:00Z</dcterms:modified>
</cp:coreProperties>
</file>