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386" w:rsidRDefault="00DE25D9" w:rsidP="00A156E4">
      <w:pPr>
        <w:pStyle w:val="AutorenOrganisation"/>
        <w:rPr>
          <w:b/>
          <w:snapToGrid w:val="0"/>
          <w:color w:val="auto"/>
          <w:spacing w:val="0"/>
          <w:kern w:val="28"/>
          <w:sz w:val="32"/>
          <w:szCs w:val="20"/>
          <w:lang w:val="de-DE" w:eastAsia="en-US"/>
        </w:rPr>
      </w:pPr>
      <w:bookmarkStart w:id="0" w:name="_GoBack"/>
      <w:bookmarkEnd w:id="0"/>
      <w:r>
        <w:rPr>
          <w:b/>
          <w:snapToGrid w:val="0"/>
          <w:color w:val="auto"/>
          <w:spacing w:val="0"/>
          <w:kern w:val="28"/>
          <w:sz w:val="32"/>
          <w:szCs w:val="20"/>
          <w:lang w:val="de-DE" w:eastAsia="en-US"/>
        </w:rPr>
        <w:t xml:space="preserve">Möglichkeiten zur Deckung des </w:t>
      </w:r>
      <w:r w:rsidR="002D2386">
        <w:rPr>
          <w:b/>
          <w:snapToGrid w:val="0"/>
          <w:color w:val="auto"/>
          <w:spacing w:val="0"/>
          <w:kern w:val="28"/>
          <w:sz w:val="32"/>
          <w:szCs w:val="20"/>
          <w:lang w:val="de-DE" w:eastAsia="en-US"/>
        </w:rPr>
        <w:t>Bedarf</w:t>
      </w:r>
      <w:r>
        <w:rPr>
          <w:b/>
          <w:snapToGrid w:val="0"/>
          <w:color w:val="auto"/>
          <w:spacing w:val="0"/>
          <w:kern w:val="28"/>
          <w:sz w:val="32"/>
          <w:szCs w:val="20"/>
          <w:lang w:val="de-DE" w:eastAsia="en-US"/>
        </w:rPr>
        <w:t>s</w:t>
      </w:r>
      <w:r w:rsidR="002D2386" w:rsidRPr="002D2386">
        <w:rPr>
          <w:b/>
          <w:snapToGrid w:val="0"/>
          <w:color w:val="auto"/>
          <w:spacing w:val="0"/>
          <w:kern w:val="28"/>
          <w:sz w:val="32"/>
          <w:szCs w:val="20"/>
          <w:lang w:val="de-DE" w:eastAsia="en-US"/>
        </w:rPr>
        <w:t xml:space="preserve"> an schneller Regelleistung im europäischen Verbundsystem </w:t>
      </w:r>
    </w:p>
    <w:p w:rsidR="00BF05FA" w:rsidRDefault="002D2386" w:rsidP="00A156E4">
      <w:pPr>
        <w:pStyle w:val="AutorenOrganisation"/>
      </w:pPr>
      <w:r>
        <w:t>Energiemärkte</w:t>
      </w:r>
    </w:p>
    <w:p w:rsidR="005E4D4F" w:rsidRPr="005E4D4F" w:rsidRDefault="00084CBC" w:rsidP="00A156E4">
      <w:pPr>
        <w:pStyle w:val="AutorenOrganisation"/>
      </w:pPr>
      <w:r w:rsidRPr="00084CBC">
        <w:t xml:space="preserve">Christian </w:t>
      </w:r>
      <w:r>
        <w:t>ALACS</w:t>
      </w:r>
      <w:r w:rsidRPr="00010E92">
        <w:rPr>
          <w:vertAlign w:val="superscript"/>
        </w:rPr>
        <w:footnoteReference w:id="1"/>
      </w:r>
      <w:r w:rsidRPr="00084CBC">
        <w:t xml:space="preserve">, Wolfgang </w:t>
      </w:r>
      <w:r>
        <w:t>GAWLIK</w:t>
      </w:r>
      <w:r>
        <w:rPr>
          <w:vertAlign w:val="superscript"/>
        </w:rPr>
        <w:t>(1)</w:t>
      </w:r>
      <w:r w:rsidRPr="005E4D4F">
        <w:t>,</w:t>
      </w:r>
      <w:r w:rsidRPr="00084CBC">
        <w:t xml:space="preserve"> Adolfo </w:t>
      </w:r>
      <w:r>
        <w:t>ANTA</w:t>
      </w:r>
      <w:r w:rsidRPr="00A156E4">
        <w:rPr>
          <w:vertAlign w:val="superscript"/>
        </w:rPr>
        <w:t>(</w:t>
      </w:r>
      <w:r>
        <w:rPr>
          <w:vertAlign w:val="superscript"/>
        </w:rPr>
        <w:t>2)</w:t>
      </w:r>
      <w:r w:rsidRPr="00084CBC">
        <w:t xml:space="preserve">, Bertram </w:t>
      </w:r>
      <w:r>
        <w:t>WEISS</w:t>
      </w:r>
      <w:r w:rsidRPr="00A156E4">
        <w:rPr>
          <w:vertAlign w:val="superscript"/>
        </w:rPr>
        <w:t>(</w:t>
      </w:r>
      <w:r>
        <w:rPr>
          <w:vertAlign w:val="superscript"/>
        </w:rPr>
        <w:t>3)</w:t>
      </w:r>
      <w:r w:rsidRPr="00084CBC">
        <w:t xml:space="preserve">, Klaus </w:t>
      </w:r>
      <w:r>
        <w:t>OBERHAUSER</w:t>
      </w:r>
      <w:r w:rsidRPr="00A156E4">
        <w:rPr>
          <w:vertAlign w:val="superscript"/>
        </w:rPr>
        <w:t>(</w:t>
      </w:r>
      <w:r>
        <w:rPr>
          <w:vertAlign w:val="superscript"/>
        </w:rPr>
        <w:t>4)</w:t>
      </w:r>
      <w:r w:rsidRPr="00084CBC">
        <w:t xml:space="preserve">, Martin </w:t>
      </w:r>
      <w:r>
        <w:t>LENZ</w:t>
      </w:r>
      <w:r w:rsidRPr="00084CBC">
        <w:t xml:space="preserve">, Alexander </w:t>
      </w:r>
      <w:r>
        <w:t>STIMMER</w:t>
      </w:r>
      <w:r w:rsidRPr="00084CBC">
        <w:t xml:space="preserve">, Michaela </w:t>
      </w:r>
      <w:r>
        <w:t>LEONHARDT</w:t>
      </w:r>
      <w:r w:rsidRPr="00A156E4">
        <w:rPr>
          <w:vertAlign w:val="superscript"/>
        </w:rPr>
        <w:t>(</w:t>
      </w:r>
      <w:r>
        <w:rPr>
          <w:vertAlign w:val="superscript"/>
        </w:rPr>
        <w:t>5)</w:t>
      </w:r>
    </w:p>
    <w:p w:rsidR="005E4D4F" w:rsidRPr="00945A58" w:rsidRDefault="00A156E4" w:rsidP="005E4D4F">
      <w:pPr>
        <w:pStyle w:val="AutorenOrganisation"/>
      </w:pPr>
      <w:r w:rsidRPr="00945A58">
        <w:rPr>
          <w:vertAlign w:val="superscript"/>
        </w:rPr>
        <w:t>(</w:t>
      </w:r>
      <w:r w:rsidR="00010E92" w:rsidRPr="00945A58">
        <w:rPr>
          <w:vertAlign w:val="superscript"/>
        </w:rPr>
        <w:t>1</w:t>
      </w:r>
      <w:r w:rsidRPr="00945A58">
        <w:rPr>
          <w:vertAlign w:val="superscript"/>
        </w:rPr>
        <w:t>)</w:t>
      </w:r>
      <w:r w:rsidR="00084CBC" w:rsidRPr="00945A58">
        <w:t>TU Wien</w:t>
      </w:r>
      <w:r w:rsidR="00010E92" w:rsidRPr="00945A58">
        <w:t xml:space="preserve">, </w:t>
      </w:r>
      <w:r w:rsidRPr="00945A58">
        <w:rPr>
          <w:vertAlign w:val="superscript"/>
        </w:rPr>
        <w:t>(</w:t>
      </w:r>
      <w:r w:rsidR="00010E92" w:rsidRPr="00945A58">
        <w:rPr>
          <w:vertAlign w:val="superscript"/>
        </w:rPr>
        <w:t>2</w:t>
      </w:r>
      <w:r w:rsidRPr="00945A58">
        <w:rPr>
          <w:vertAlign w:val="superscript"/>
        </w:rPr>
        <w:t>)</w:t>
      </w:r>
      <w:r w:rsidR="00084CBC" w:rsidRPr="00945A58">
        <w:t xml:space="preserve">AIT Austrian Institute </w:t>
      </w:r>
      <w:proofErr w:type="spellStart"/>
      <w:r w:rsidR="00084CBC" w:rsidRPr="00945A58">
        <w:t>of</w:t>
      </w:r>
      <w:proofErr w:type="spellEnd"/>
      <w:r w:rsidR="00084CBC" w:rsidRPr="00945A58">
        <w:t xml:space="preserve"> Technology, </w:t>
      </w:r>
      <w:r w:rsidR="00084CBC" w:rsidRPr="00A156E4">
        <w:rPr>
          <w:vertAlign w:val="superscript"/>
        </w:rPr>
        <w:t>(</w:t>
      </w:r>
      <w:r w:rsidR="00084CBC">
        <w:rPr>
          <w:vertAlign w:val="superscript"/>
        </w:rPr>
        <w:t>3)</w:t>
      </w:r>
      <w:r w:rsidR="00084CBC" w:rsidRPr="00945A58">
        <w:t xml:space="preserve">Verbund Solutions GmbH, </w:t>
      </w:r>
      <w:r w:rsidR="00084CBC" w:rsidRPr="00A156E4">
        <w:rPr>
          <w:vertAlign w:val="superscript"/>
        </w:rPr>
        <w:t>(</w:t>
      </w:r>
      <w:r w:rsidR="00084CBC">
        <w:rPr>
          <w:vertAlign w:val="superscript"/>
        </w:rPr>
        <w:t>4)</w:t>
      </w:r>
      <w:r w:rsidR="00084CBC" w:rsidRPr="00945A58">
        <w:t xml:space="preserve">Verbund </w:t>
      </w:r>
      <w:proofErr w:type="spellStart"/>
      <w:r w:rsidR="00084CBC" w:rsidRPr="00945A58">
        <w:t>Hydro</w:t>
      </w:r>
      <w:proofErr w:type="spellEnd"/>
      <w:r w:rsidR="00084CBC" w:rsidRPr="00945A58">
        <w:t xml:space="preserve"> Power, </w:t>
      </w:r>
      <w:r w:rsidR="00084CBC" w:rsidRPr="00A156E4">
        <w:rPr>
          <w:vertAlign w:val="superscript"/>
        </w:rPr>
        <w:t>(</w:t>
      </w:r>
      <w:r w:rsidR="00084CBC">
        <w:rPr>
          <w:vertAlign w:val="superscript"/>
        </w:rPr>
        <w:t>5)</w:t>
      </w:r>
      <w:r w:rsidR="00084CBC" w:rsidRPr="00945A58">
        <w:t>Austrian Power Grid AG</w:t>
      </w:r>
    </w:p>
    <w:p w:rsidR="005E4D4F" w:rsidRPr="005E4D4F" w:rsidRDefault="005E4D4F" w:rsidP="005E4D4F">
      <w:pPr>
        <w:pStyle w:val="Ueberschrift"/>
      </w:pPr>
      <w:r w:rsidRPr="005E4D4F">
        <w:t>Motivation und zentrale Fragestellung</w:t>
      </w:r>
    </w:p>
    <w:p w:rsidR="005E4D4F" w:rsidRPr="005E4D4F" w:rsidRDefault="002D2386" w:rsidP="002D2386">
      <w:r>
        <w:t>Viele dezentrale Erzeugungsanlagen stellen anders als Kraftwerke mit direkt angebundenen Synchrongeneratoren keine rotierende Masse für das Verbundsystem zur Verfügung. Das bedeutet, dass sich die Dynamik im Verbundsystem grundsätzlich verändern wird. Zur Aktivierung von Regelreserven bleibt zukünftig weniger Zeit, bis kritische Frequenzwerte erreicht werden, bei denen die Integrität des Verbundsystems nicht mehr gewährleistet werden kann.</w:t>
      </w:r>
      <w:r w:rsidR="00084CBC">
        <w:t xml:space="preserve"> </w:t>
      </w:r>
      <w:r>
        <w:t xml:space="preserve">Es gibt vier Möglichkeiten, auf diese Entwicklungen zu reagieren: </w:t>
      </w:r>
      <w:r w:rsidR="00D42989" w:rsidRPr="00D305DC">
        <w:rPr>
          <w:lang w:val="de-AT"/>
        </w:rPr>
        <w:t>Die Anpassung des frequenzabhängigen Lastabwurfs</w:t>
      </w:r>
      <w:r w:rsidR="00D42989">
        <w:rPr>
          <w:lang w:val="de-AT"/>
        </w:rPr>
        <w:t xml:space="preserve"> (über eine Aufweitung der Frequenzgrenzen)</w:t>
      </w:r>
      <w:r>
        <w:t xml:space="preserve">, die schnellere Aktivierung von Regelreserven oder die Gewährleistung einer ausreichend </w:t>
      </w:r>
      <w:r w:rsidR="00D305DC">
        <w:t xml:space="preserve">hohen </w:t>
      </w:r>
      <w:proofErr w:type="spellStart"/>
      <w:r w:rsidR="00D305DC">
        <w:t>Momentanreserve</w:t>
      </w:r>
      <w:proofErr w:type="spellEnd"/>
      <w:r>
        <w:t xml:space="preserve"> im System, bzw. eine Kombination aus diesen Ansätzen.</w:t>
      </w:r>
    </w:p>
    <w:p w:rsidR="005E4D4F" w:rsidRPr="005E4D4F" w:rsidRDefault="005E4D4F" w:rsidP="005E4D4F">
      <w:pPr>
        <w:pStyle w:val="Ueberschrift"/>
      </w:pPr>
      <w:r w:rsidRPr="005E4D4F">
        <w:t>Methodische Vorgangsweise</w:t>
      </w:r>
    </w:p>
    <w:p w:rsidR="00DE25D9" w:rsidRDefault="00DE25D9" w:rsidP="00DE25D9">
      <w:r>
        <w:t>Im Rahmen des Projekts ABS4TSO werden die Eigenschaften hochdynamischer Systemdienstleistungen, die künftig zur Gewährleistung der Systemstabilität und -sicherheit bei zunehmendem Anteil erneuerbarer Energieträger notwendig sein werden sowie die Möglichkeiten und Rahmenbedingungen für ihre Erbringung untersucht. Besonderes Augenmerk wird auf eine technologieneutrale Gestaltung entsprechender Systemdienstleistungen gelegt. Im Fokus der Untersuchungen stehen folgende Anwendungen:</w:t>
      </w:r>
    </w:p>
    <w:p w:rsidR="00DE25D9" w:rsidRDefault="00DE25D9" w:rsidP="00DE25D9">
      <w:pPr>
        <w:numPr>
          <w:ilvl w:val="0"/>
          <w:numId w:val="5"/>
        </w:numPr>
      </w:pPr>
      <w:r>
        <w:t xml:space="preserve">Frequenzstabilisierung durch </w:t>
      </w:r>
      <w:r w:rsidR="008B4D38">
        <w:t xml:space="preserve">Bereitstellung </w:t>
      </w:r>
      <w:r>
        <w:t>künstliche</w:t>
      </w:r>
      <w:r w:rsidR="008B4D38">
        <w:t>r</w:t>
      </w:r>
      <w:r>
        <w:t xml:space="preserve"> Trägheit</w:t>
      </w:r>
    </w:p>
    <w:p w:rsidR="00DE25D9" w:rsidRDefault="00DE25D9" w:rsidP="00DE25D9">
      <w:pPr>
        <w:numPr>
          <w:ilvl w:val="0"/>
          <w:numId w:val="5"/>
        </w:numPr>
      </w:pPr>
      <w:r>
        <w:t>Bereitstellung von hochdynamischer Regelleistung</w:t>
      </w:r>
    </w:p>
    <w:p w:rsidR="00DE25D9" w:rsidRDefault="00DE25D9" w:rsidP="00DE25D9">
      <w:pPr>
        <w:numPr>
          <w:ilvl w:val="0"/>
          <w:numId w:val="5"/>
        </w:numPr>
      </w:pPr>
      <w:r>
        <w:t>Dämpfung von Systemoszillationen</w:t>
      </w:r>
    </w:p>
    <w:p w:rsidR="00DE25D9" w:rsidRDefault="00DE25D9" w:rsidP="00DE25D9">
      <w:pPr>
        <w:numPr>
          <w:ilvl w:val="0"/>
          <w:numId w:val="5"/>
        </w:numPr>
      </w:pPr>
      <w:r>
        <w:t>Reduktion von deterministischen Frequenzabweichungen</w:t>
      </w:r>
    </w:p>
    <w:p w:rsidR="00DE25D9" w:rsidRDefault="00DE25D9" w:rsidP="00DE25D9">
      <w:pPr>
        <w:numPr>
          <w:ilvl w:val="0"/>
          <w:numId w:val="5"/>
        </w:numPr>
      </w:pPr>
      <w:r>
        <w:t>Schnelle Wirkleistungserholung nach Fehlern im Netz</w:t>
      </w:r>
    </w:p>
    <w:p w:rsidR="00DE25D9" w:rsidRDefault="00DE25D9" w:rsidP="00DE25D9">
      <w:pPr>
        <w:numPr>
          <w:ilvl w:val="0"/>
          <w:numId w:val="5"/>
        </w:numPr>
      </w:pPr>
      <w:r>
        <w:t>Frequenzstabilisierung laut Defense Plan</w:t>
      </w:r>
    </w:p>
    <w:p w:rsidR="00DE25D9" w:rsidRDefault="00DE25D9" w:rsidP="00DE25D9">
      <w:pPr>
        <w:numPr>
          <w:ilvl w:val="0"/>
          <w:numId w:val="5"/>
        </w:numPr>
      </w:pPr>
      <w:r>
        <w:t>Frequenzstabilisierung im Falle eines Netzwiederaufbaus</w:t>
      </w:r>
    </w:p>
    <w:p w:rsidR="005E4D4F" w:rsidRDefault="00DE25D9" w:rsidP="00DE25D9">
      <w:r>
        <w:t xml:space="preserve">Batteriespeicher stellen eine Technologie dar, die aufgrund ihrer Eigenschaften zur Erbringung der erforderlichen Funktionen geeignet ist. Zudem bietet sie die für das Projekt erforderliche </w:t>
      </w:r>
      <w:r w:rsidR="008B4D38">
        <w:t xml:space="preserve">Flexibilität </w:t>
      </w:r>
      <w:r>
        <w:t xml:space="preserve">und Skalierbarkeit. Im Projekt wird daher ein Batteriespeichersystem (Größenordnung 1 MW/500 kWh) als Referenzanlage </w:t>
      </w:r>
      <w:r w:rsidR="008B4D38">
        <w:t xml:space="preserve">im Umspannwerk Wien Südost </w:t>
      </w:r>
      <w:r>
        <w:t>errichtet</w:t>
      </w:r>
      <w:r w:rsidR="00D305DC">
        <w:t>,</w:t>
      </w:r>
      <w:r>
        <w:t xml:space="preserve"> um die definierten Anwendungen und Services systemisch/technisch umzusetzen und im Feld umfassend zu untersuchen.</w:t>
      </w:r>
    </w:p>
    <w:p w:rsidR="00DE25D9" w:rsidRPr="005E4D4F" w:rsidRDefault="00347E7F" w:rsidP="00DE25D9">
      <w:r>
        <w:rPr>
          <w:noProof/>
          <w:lang w:val="de-AT" w:eastAsia="de-AT"/>
        </w:rPr>
        <w:drawing>
          <wp:inline distT="0" distB="0" distL="0" distR="0">
            <wp:extent cx="5162550" cy="2581275"/>
            <wp:effectExtent l="0" t="0" r="0" b="0"/>
            <wp:docPr id="1" name="Bild 1" descr="ABS4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4TS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550" cy="2581275"/>
                    </a:xfrm>
                    <a:prstGeom prst="rect">
                      <a:avLst/>
                    </a:prstGeom>
                    <a:noFill/>
                    <a:ln>
                      <a:noFill/>
                    </a:ln>
                  </pic:spPr>
                </pic:pic>
              </a:graphicData>
            </a:graphic>
          </wp:inline>
        </w:drawing>
      </w:r>
      <w:r w:rsidR="00084CBC">
        <w:br/>
      </w:r>
      <w:r w:rsidR="00DE25D9" w:rsidRPr="002946B8">
        <w:t xml:space="preserve">Abbildung 1: </w:t>
      </w:r>
      <w:r w:rsidR="00DE25D9">
        <w:t>Themenbereiche des Projektes ABS4TSO</w:t>
      </w:r>
    </w:p>
    <w:p w:rsidR="005E4D4F" w:rsidRDefault="005E4D4F" w:rsidP="005E4D4F">
      <w:pPr>
        <w:pStyle w:val="Ueberschrift"/>
      </w:pPr>
      <w:r w:rsidRPr="005E4D4F">
        <w:lastRenderedPageBreak/>
        <w:t>Ergebnisse und Schlussfolgerungen</w:t>
      </w:r>
    </w:p>
    <w:p w:rsidR="00DE25D9" w:rsidRPr="00DE25D9" w:rsidRDefault="00DE25D9" w:rsidP="00DE25D9">
      <w:pPr>
        <w:pStyle w:val="Ueberschrift"/>
        <w:rPr>
          <w:b w:val="0"/>
          <w:sz w:val="20"/>
          <w:szCs w:val="20"/>
        </w:rPr>
      </w:pPr>
      <w:r w:rsidRPr="00DE25D9">
        <w:rPr>
          <w:b w:val="0"/>
          <w:sz w:val="20"/>
          <w:szCs w:val="20"/>
        </w:rPr>
        <w:t>Basierend auf den Untersuchungen zu den definierten Systemdienstleistungen werden folgende Projektergebnisse angestrebt:</w:t>
      </w:r>
    </w:p>
    <w:p w:rsidR="00DE25D9" w:rsidRPr="00DE25D9" w:rsidRDefault="00DE25D9" w:rsidP="00DE25D9">
      <w:pPr>
        <w:pStyle w:val="Ueberschrift"/>
        <w:numPr>
          <w:ilvl w:val="0"/>
          <w:numId w:val="6"/>
        </w:numPr>
        <w:spacing w:before="0" w:after="0"/>
        <w:ind w:left="714" w:hanging="357"/>
        <w:rPr>
          <w:b w:val="0"/>
          <w:sz w:val="20"/>
          <w:szCs w:val="20"/>
        </w:rPr>
      </w:pPr>
      <w:r w:rsidRPr="00DE25D9">
        <w:rPr>
          <w:b w:val="0"/>
          <w:sz w:val="20"/>
          <w:szCs w:val="20"/>
        </w:rPr>
        <w:t>Funktionsnachweis hochdynamischer Systemdienstleistungen für die Frequenzstabilität an einem Referenzsystem im Feld.</w:t>
      </w:r>
    </w:p>
    <w:p w:rsidR="00DE25D9" w:rsidRPr="00DE25D9" w:rsidRDefault="00DE25D9" w:rsidP="00DE25D9">
      <w:pPr>
        <w:pStyle w:val="Ueberschrift"/>
        <w:numPr>
          <w:ilvl w:val="0"/>
          <w:numId w:val="6"/>
        </w:numPr>
        <w:spacing w:before="0" w:after="0"/>
        <w:ind w:left="714" w:hanging="357"/>
        <w:rPr>
          <w:b w:val="0"/>
          <w:sz w:val="20"/>
          <w:szCs w:val="20"/>
        </w:rPr>
      </w:pPr>
      <w:r w:rsidRPr="00DE25D9">
        <w:rPr>
          <w:b w:val="0"/>
          <w:sz w:val="20"/>
          <w:szCs w:val="20"/>
        </w:rPr>
        <w:t>Technologieneutrale Formulierung möglicher künftiger, hochdynamischer Systemdienstleistungen</w:t>
      </w:r>
    </w:p>
    <w:p w:rsidR="00DE25D9" w:rsidRPr="00DE25D9" w:rsidRDefault="00DE25D9" w:rsidP="00DE25D9">
      <w:pPr>
        <w:pStyle w:val="Ueberschrift"/>
        <w:numPr>
          <w:ilvl w:val="0"/>
          <w:numId w:val="6"/>
        </w:numPr>
        <w:spacing w:before="0" w:after="0"/>
        <w:ind w:left="714" w:hanging="357"/>
        <w:rPr>
          <w:b w:val="0"/>
          <w:sz w:val="20"/>
          <w:szCs w:val="20"/>
        </w:rPr>
      </w:pPr>
      <w:r w:rsidRPr="00DE25D9">
        <w:rPr>
          <w:b w:val="0"/>
          <w:sz w:val="20"/>
          <w:szCs w:val="20"/>
        </w:rPr>
        <w:t>Spezifikation technischer Anforderungen an zukünftige Anlagen und deren Dimensionierung</w:t>
      </w:r>
    </w:p>
    <w:p w:rsidR="00DE25D9" w:rsidRPr="00DE25D9" w:rsidRDefault="00DE25D9" w:rsidP="00DE25D9">
      <w:pPr>
        <w:pStyle w:val="Ueberschrift"/>
        <w:numPr>
          <w:ilvl w:val="0"/>
          <w:numId w:val="6"/>
        </w:numPr>
        <w:spacing w:before="0" w:after="0"/>
        <w:ind w:left="714" w:hanging="357"/>
        <w:rPr>
          <w:b w:val="0"/>
          <w:sz w:val="20"/>
          <w:szCs w:val="20"/>
        </w:rPr>
      </w:pPr>
      <w:r w:rsidRPr="00DE25D9">
        <w:rPr>
          <w:b w:val="0"/>
          <w:sz w:val="20"/>
          <w:szCs w:val="20"/>
        </w:rPr>
        <w:t>Potenziale für zukünftige Marktprodukte</w:t>
      </w:r>
    </w:p>
    <w:p w:rsidR="00DE25D9" w:rsidRPr="00DE25D9" w:rsidRDefault="00DE25D9" w:rsidP="00DE25D9">
      <w:pPr>
        <w:pStyle w:val="Ueberschrift"/>
        <w:numPr>
          <w:ilvl w:val="0"/>
          <w:numId w:val="6"/>
        </w:numPr>
        <w:spacing w:before="0" w:after="0"/>
        <w:ind w:left="714" w:hanging="357"/>
        <w:rPr>
          <w:b w:val="0"/>
          <w:sz w:val="20"/>
          <w:szCs w:val="20"/>
        </w:rPr>
      </w:pPr>
      <w:r w:rsidRPr="00DE25D9">
        <w:rPr>
          <w:b w:val="0"/>
          <w:sz w:val="20"/>
          <w:szCs w:val="20"/>
        </w:rPr>
        <w:t xml:space="preserve">Systemwirkung der neuen Systemdienstleistungen bei hochskaliertem Einsatz im </w:t>
      </w:r>
      <w:r w:rsidR="008B4D38">
        <w:rPr>
          <w:b w:val="0"/>
          <w:sz w:val="20"/>
          <w:szCs w:val="20"/>
        </w:rPr>
        <w:t>Verbundnetz</w:t>
      </w:r>
    </w:p>
    <w:p w:rsidR="00DE25D9" w:rsidRPr="00DE25D9" w:rsidRDefault="00DE25D9" w:rsidP="00DE25D9">
      <w:pPr>
        <w:pStyle w:val="Ueberschrift"/>
        <w:numPr>
          <w:ilvl w:val="0"/>
          <w:numId w:val="6"/>
        </w:numPr>
        <w:spacing w:before="0" w:after="0"/>
        <w:ind w:left="714" w:hanging="357"/>
        <w:rPr>
          <w:b w:val="0"/>
          <w:sz w:val="20"/>
          <w:szCs w:val="20"/>
        </w:rPr>
      </w:pPr>
      <w:r w:rsidRPr="00DE25D9">
        <w:rPr>
          <w:b w:val="0"/>
          <w:sz w:val="20"/>
          <w:szCs w:val="20"/>
        </w:rPr>
        <w:t>Konzeptentwicklung für den Test der Funktionalitäten bzw. für ein geeignetes Monitoring der Leistungserbringung im Hinblick auf eine künftige Präqualifikation</w:t>
      </w:r>
    </w:p>
    <w:p w:rsidR="00803917" w:rsidRPr="00084CBC" w:rsidRDefault="00DE25D9" w:rsidP="00DE25D9">
      <w:pPr>
        <w:pStyle w:val="Abbildungsbeschriftung"/>
        <w:numPr>
          <w:ilvl w:val="0"/>
          <w:numId w:val="6"/>
        </w:numPr>
        <w:ind w:left="714" w:hanging="357"/>
      </w:pPr>
      <w:r w:rsidRPr="00DE25D9">
        <w:rPr>
          <w:i w:val="0"/>
          <w:szCs w:val="20"/>
        </w:rPr>
        <w:t>Entwicklung von geeigneten Rahmenbedingungen für die Bereitstellung der untersuchten Dienstleistungen</w:t>
      </w:r>
    </w:p>
    <w:p w:rsidR="00084CBC" w:rsidRPr="002946B8" w:rsidRDefault="00084CBC" w:rsidP="00084CBC">
      <w:pPr>
        <w:pStyle w:val="Abbildungsbeschriftung"/>
      </w:pPr>
      <w:r>
        <w:rPr>
          <w:i w:val="0"/>
          <w:szCs w:val="20"/>
        </w:rPr>
        <w:t>Im Konferenzbeitrag wird der Zwischenstand des Projektes präsentiert und diskutiert.</w:t>
      </w:r>
    </w:p>
    <w:p w:rsidR="002946B8" w:rsidRDefault="002946B8" w:rsidP="00227125"/>
    <w:p w:rsidR="005E4D4F" w:rsidRPr="005E4D4F" w:rsidRDefault="005E4D4F" w:rsidP="00A156E4">
      <w:pPr>
        <w:pStyle w:val="Ueberschrift"/>
      </w:pPr>
      <w:bookmarkStart w:id="1" w:name="_Toc26086066"/>
      <w:bookmarkStart w:id="2" w:name="_Toc68418491"/>
      <w:r w:rsidRPr="005E4D4F">
        <w:t>Literatur</w:t>
      </w:r>
      <w:bookmarkEnd w:id="1"/>
      <w:bookmarkEnd w:id="2"/>
    </w:p>
    <w:p w:rsidR="00DE25D9" w:rsidRPr="00084CBC" w:rsidRDefault="00DE25D9" w:rsidP="00DE25D9">
      <w:pPr>
        <w:pStyle w:val="Listenabsatz"/>
        <w:numPr>
          <w:ilvl w:val="0"/>
          <w:numId w:val="7"/>
        </w:numPr>
        <w:rPr>
          <w:rFonts w:ascii="Arial" w:hAnsi="Arial" w:cs="Arial"/>
          <w:sz w:val="20"/>
          <w:szCs w:val="20"/>
          <w:lang w:val="en-US"/>
        </w:rPr>
      </w:pPr>
      <w:r w:rsidRPr="00084CBC">
        <w:rPr>
          <w:rFonts w:ascii="Arial" w:hAnsi="Arial" w:cs="Arial"/>
          <w:sz w:val="20"/>
          <w:szCs w:val="20"/>
          <w:lang w:val="en-US"/>
        </w:rPr>
        <w:t>SCENARIO OUTLOOK &amp; ADEQUACY FORECAST 2015, ENTSO-E, 30.06.2015, https://docstore.entsoe.eu/Documents/SDC%20documents/SOAF/150630_SOAF_2015_publication_wcover.pdf</w:t>
      </w:r>
    </w:p>
    <w:p w:rsidR="00DE25D9" w:rsidRPr="00084CBC" w:rsidRDefault="00DE25D9" w:rsidP="00DE25D9">
      <w:pPr>
        <w:pStyle w:val="Listenabsatz"/>
        <w:numPr>
          <w:ilvl w:val="0"/>
          <w:numId w:val="7"/>
        </w:numPr>
        <w:rPr>
          <w:rFonts w:ascii="Arial" w:hAnsi="Arial" w:cs="Arial"/>
          <w:sz w:val="20"/>
          <w:szCs w:val="20"/>
          <w:lang w:val="en-US"/>
        </w:rPr>
      </w:pPr>
      <w:r w:rsidRPr="00084CBC">
        <w:rPr>
          <w:rFonts w:ascii="Arial" w:hAnsi="Arial" w:cs="Arial"/>
          <w:sz w:val="20"/>
          <w:szCs w:val="20"/>
          <w:lang w:val="en-US"/>
        </w:rPr>
        <w:t>TYNDP 2018 Scenario Report, Main Report, ENTSO-E, 2018, https://docstore.entsoe.eu/Documents/TYNDP%20documents/TYNDP2018/Scenario_Report_2018_Final.pdf</w:t>
      </w:r>
    </w:p>
    <w:p w:rsidR="00DE25D9" w:rsidRPr="00084CBC" w:rsidRDefault="00DE25D9" w:rsidP="00DE25D9">
      <w:pPr>
        <w:pStyle w:val="Listenabsatz"/>
        <w:numPr>
          <w:ilvl w:val="0"/>
          <w:numId w:val="7"/>
        </w:numPr>
        <w:rPr>
          <w:rFonts w:ascii="Arial" w:hAnsi="Arial" w:cs="Arial"/>
          <w:sz w:val="20"/>
          <w:szCs w:val="20"/>
          <w:lang w:val="en-US"/>
        </w:rPr>
      </w:pPr>
      <w:r w:rsidRPr="00084CBC">
        <w:rPr>
          <w:rFonts w:ascii="Arial" w:hAnsi="Arial" w:cs="Arial"/>
          <w:sz w:val="20"/>
          <w:szCs w:val="20"/>
          <w:lang w:val="en-US"/>
        </w:rPr>
        <w:t>EU Reference Scenario 2016 Energy, transport and GHG emissions Trends to 2050, 15.07.2016, https://ec.europa.eu/energy/sites/ener/files/documents/ref2016_report_final-web.pdf</w:t>
      </w:r>
    </w:p>
    <w:p w:rsidR="00DE25D9" w:rsidRPr="00084CBC" w:rsidRDefault="00DE25D9" w:rsidP="00DE25D9">
      <w:pPr>
        <w:pStyle w:val="Listenabsatz"/>
        <w:numPr>
          <w:ilvl w:val="0"/>
          <w:numId w:val="7"/>
        </w:numPr>
        <w:rPr>
          <w:rFonts w:ascii="Arial" w:hAnsi="Arial" w:cs="Arial"/>
          <w:sz w:val="20"/>
          <w:szCs w:val="20"/>
          <w:lang w:val="en-US"/>
        </w:rPr>
      </w:pPr>
      <w:r w:rsidRPr="00084CBC">
        <w:rPr>
          <w:rFonts w:ascii="Arial" w:hAnsi="Arial" w:cs="Arial"/>
          <w:sz w:val="20"/>
          <w:szCs w:val="20"/>
          <w:lang w:val="en-US"/>
        </w:rPr>
        <w:t>TYNDP 2016, Executive report, chapter 1.9, ENTSO-E, http://tyndp.entsoe.eu/2016/exec-report/</w:t>
      </w:r>
    </w:p>
    <w:p w:rsidR="00DE25D9" w:rsidRPr="00084CBC" w:rsidRDefault="00DE25D9" w:rsidP="00DE25D9">
      <w:pPr>
        <w:pStyle w:val="Listenabsatz"/>
        <w:numPr>
          <w:ilvl w:val="0"/>
          <w:numId w:val="7"/>
        </w:numPr>
        <w:rPr>
          <w:rFonts w:ascii="Arial" w:hAnsi="Arial" w:cs="Arial"/>
          <w:sz w:val="20"/>
          <w:szCs w:val="20"/>
          <w:lang w:val="en-US"/>
        </w:rPr>
      </w:pPr>
      <w:r w:rsidRPr="00084CBC">
        <w:rPr>
          <w:rFonts w:ascii="Arial" w:hAnsi="Arial" w:cs="Arial"/>
          <w:sz w:val="20"/>
          <w:szCs w:val="20"/>
          <w:lang w:val="en-US"/>
        </w:rPr>
        <w:t>TYNDP 2016, Insight report Viability of the energy mix, ENTSO-E, http://tyndp.entsoe.eu/2016/insight-reports/energy-mix/</w:t>
      </w:r>
    </w:p>
    <w:p w:rsidR="00DE25D9" w:rsidRPr="00084CBC" w:rsidRDefault="00DE25D9" w:rsidP="00DE25D9">
      <w:pPr>
        <w:pStyle w:val="Listenabsatz"/>
        <w:numPr>
          <w:ilvl w:val="0"/>
          <w:numId w:val="7"/>
        </w:numPr>
        <w:rPr>
          <w:rFonts w:ascii="Arial" w:hAnsi="Arial" w:cs="Arial"/>
          <w:sz w:val="20"/>
          <w:szCs w:val="20"/>
          <w:lang w:val="en-US"/>
        </w:rPr>
      </w:pPr>
      <w:r w:rsidRPr="00084CBC">
        <w:rPr>
          <w:rFonts w:ascii="Arial" w:hAnsi="Arial" w:cs="Arial"/>
          <w:sz w:val="20"/>
          <w:szCs w:val="20"/>
          <w:lang w:val="en-US"/>
        </w:rPr>
        <w:t>High Penetration of Power Electronic Interfaced Power Sources (</w:t>
      </w:r>
      <w:proofErr w:type="spellStart"/>
      <w:r w:rsidRPr="00084CBC">
        <w:rPr>
          <w:rFonts w:ascii="Arial" w:hAnsi="Arial" w:cs="Arial"/>
          <w:sz w:val="20"/>
          <w:szCs w:val="20"/>
          <w:lang w:val="en-US"/>
        </w:rPr>
        <w:t>HPoPEIPS</w:t>
      </w:r>
      <w:proofErr w:type="spellEnd"/>
      <w:r w:rsidRPr="00084CBC">
        <w:rPr>
          <w:rFonts w:ascii="Arial" w:hAnsi="Arial" w:cs="Arial"/>
          <w:sz w:val="20"/>
          <w:szCs w:val="20"/>
          <w:lang w:val="en-US"/>
        </w:rPr>
        <w:t>), ENTSO-E Guidance document for national implementation for network codes on grid connection, 29 March 2017, https://docstore.entsoe.eu/Documents/Network%20codes%20documents/Implementation/CNC/170321_IGD25_HPoPEIPS.pdf</w:t>
      </w:r>
    </w:p>
    <w:p w:rsidR="00DE25D9" w:rsidRPr="00084CBC" w:rsidRDefault="00DE25D9" w:rsidP="00DE25D9">
      <w:pPr>
        <w:pStyle w:val="Listenabsatz"/>
        <w:numPr>
          <w:ilvl w:val="0"/>
          <w:numId w:val="7"/>
        </w:numPr>
        <w:rPr>
          <w:rFonts w:ascii="Arial" w:hAnsi="Arial" w:cs="Arial"/>
          <w:sz w:val="20"/>
          <w:szCs w:val="20"/>
          <w:lang w:val="en-US"/>
        </w:rPr>
      </w:pPr>
      <w:r w:rsidRPr="00084CBC">
        <w:rPr>
          <w:rFonts w:ascii="Arial" w:hAnsi="Arial" w:cs="Arial"/>
          <w:sz w:val="20"/>
          <w:szCs w:val="20"/>
          <w:lang w:val="en-US"/>
        </w:rPr>
        <w:t>UCTE Operation Handbook, Appendix 1: Load-Frequency Control and Performance, 2004, https://www.entsoe.eu/fileadmin/user_upload/_library/publications/entsoe/Operation_Handbook/Policy_1_Appendix%20_final.pdf</w:t>
      </w:r>
    </w:p>
    <w:p w:rsidR="00DE25D9" w:rsidRPr="00084CBC" w:rsidRDefault="00DE25D9" w:rsidP="00DE25D9">
      <w:pPr>
        <w:pStyle w:val="Listenabsatz"/>
        <w:numPr>
          <w:ilvl w:val="0"/>
          <w:numId w:val="7"/>
        </w:numPr>
        <w:rPr>
          <w:rFonts w:ascii="Arial" w:hAnsi="Arial" w:cs="Arial"/>
          <w:sz w:val="20"/>
          <w:szCs w:val="20"/>
        </w:rPr>
      </w:pPr>
      <w:r w:rsidRPr="00084CBC">
        <w:rPr>
          <w:rFonts w:ascii="Arial" w:hAnsi="Arial" w:cs="Arial"/>
          <w:sz w:val="20"/>
          <w:szCs w:val="20"/>
        </w:rPr>
        <w:t xml:space="preserve">W. Gawlik, A. Lechner, R. Schürhuber: "Inertia </w:t>
      </w:r>
      <w:proofErr w:type="spellStart"/>
      <w:r w:rsidRPr="00084CBC">
        <w:rPr>
          <w:rFonts w:ascii="Arial" w:hAnsi="Arial" w:cs="Arial"/>
          <w:sz w:val="20"/>
          <w:szCs w:val="20"/>
        </w:rPr>
        <w:t>Certificates</w:t>
      </w:r>
      <w:proofErr w:type="spellEnd"/>
      <w:r w:rsidRPr="00084CBC">
        <w:rPr>
          <w:rFonts w:ascii="Arial" w:hAnsi="Arial" w:cs="Arial"/>
          <w:sz w:val="20"/>
          <w:szCs w:val="20"/>
        </w:rPr>
        <w:t xml:space="preserve"> - Bedeutung und Wert von </w:t>
      </w:r>
      <w:proofErr w:type="spellStart"/>
      <w:r w:rsidRPr="00084CBC">
        <w:rPr>
          <w:rFonts w:ascii="Arial" w:hAnsi="Arial" w:cs="Arial"/>
          <w:sz w:val="20"/>
          <w:szCs w:val="20"/>
        </w:rPr>
        <w:t>Momentanreserve</w:t>
      </w:r>
      <w:proofErr w:type="spellEnd"/>
      <w:r w:rsidRPr="00084CBC">
        <w:rPr>
          <w:rFonts w:ascii="Arial" w:hAnsi="Arial" w:cs="Arial"/>
          <w:sz w:val="20"/>
          <w:szCs w:val="20"/>
        </w:rPr>
        <w:t xml:space="preserve"> für den Verbundnetzbetrieb"; Vortrag: IEWT Internationale Energiewirtschaftstagung TU Wien, Wien; 15.02.2017 - 17.02.2017; in: "Klimaziele 2050: Chance für einen Paradigmenwechsel?", (2017), S. 1 - 8.</w:t>
      </w:r>
    </w:p>
    <w:p w:rsidR="00DE25D9" w:rsidRPr="00084CBC" w:rsidRDefault="00DE25D9" w:rsidP="00DE25D9">
      <w:pPr>
        <w:pStyle w:val="Listenabsatz"/>
        <w:numPr>
          <w:ilvl w:val="0"/>
          <w:numId w:val="7"/>
        </w:numPr>
        <w:rPr>
          <w:rFonts w:ascii="Arial" w:hAnsi="Arial" w:cs="Arial"/>
          <w:sz w:val="20"/>
          <w:szCs w:val="20"/>
        </w:rPr>
      </w:pPr>
      <w:r w:rsidRPr="00084CBC">
        <w:rPr>
          <w:rFonts w:ascii="Arial" w:hAnsi="Arial" w:cs="Arial"/>
          <w:sz w:val="20"/>
          <w:szCs w:val="20"/>
        </w:rPr>
        <w:t xml:space="preserve">B. Engel, S. </w:t>
      </w:r>
      <w:proofErr w:type="spellStart"/>
      <w:r w:rsidRPr="00084CBC">
        <w:rPr>
          <w:rFonts w:ascii="Arial" w:hAnsi="Arial" w:cs="Arial"/>
          <w:sz w:val="20"/>
          <w:szCs w:val="20"/>
        </w:rPr>
        <w:t>Laudahn</w:t>
      </w:r>
      <w:proofErr w:type="spellEnd"/>
      <w:r w:rsidRPr="00084CBC">
        <w:rPr>
          <w:rFonts w:ascii="Arial" w:hAnsi="Arial" w:cs="Arial"/>
          <w:sz w:val="20"/>
          <w:szCs w:val="20"/>
        </w:rPr>
        <w:t>, F. Rauscher: „Synthetische Schwungmassen“, 12. ETG/GMA-Fachtagung „Netzregelung und Systemführung“: ENERGIEWENDE IN DER STROMVERSORGUNG – SYSTEMSTABILITÄT UND SYSTEMSICHERHEIT</w:t>
      </w:r>
    </w:p>
    <w:p w:rsidR="00DE25D9" w:rsidRPr="00084CBC" w:rsidRDefault="00DE25D9" w:rsidP="00DE25D9">
      <w:pPr>
        <w:pStyle w:val="Listenabsatz"/>
        <w:numPr>
          <w:ilvl w:val="0"/>
          <w:numId w:val="7"/>
        </w:numPr>
        <w:rPr>
          <w:rFonts w:ascii="Arial" w:hAnsi="Arial" w:cs="Arial"/>
          <w:sz w:val="20"/>
          <w:szCs w:val="20"/>
        </w:rPr>
      </w:pPr>
      <w:r w:rsidRPr="00084CBC">
        <w:rPr>
          <w:rFonts w:ascii="Arial" w:hAnsi="Arial" w:cs="Arial"/>
          <w:sz w:val="20"/>
          <w:szCs w:val="20"/>
        </w:rPr>
        <w:t>R. Schürhuber, A. Lechner, W. Gawlik: "Bereitstellung synthetischer Schwungmasse durch Wasserkraftwerke"; E&amp;I Elektrotechnik und Informationstechnik, 133 (2016), 8; S. 388 - 394.</w:t>
      </w:r>
    </w:p>
    <w:p w:rsidR="00DE25D9" w:rsidRPr="00084CBC" w:rsidRDefault="00DE25D9" w:rsidP="00DE25D9">
      <w:pPr>
        <w:pStyle w:val="Listenabsatz"/>
        <w:numPr>
          <w:ilvl w:val="0"/>
          <w:numId w:val="7"/>
        </w:numPr>
        <w:rPr>
          <w:rFonts w:ascii="Arial" w:hAnsi="Arial" w:cs="Arial"/>
          <w:sz w:val="20"/>
          <w:szCs w:val="20"/>
        </w:rPr>
      </w:pPr>
      <w:r w:rsidRPr="00084CBC">
        <w:rPr>
          <w:rFonts w:ascii="Arial" w:hAnsi="Arial" w:cs="Arial"/>
          <w:sz w:val="20"/>
          <w:szCs w:val="20"/>
        </w:rPr>
        <w:t xml:space="preserve">C. </w:t>
      </w:r>
      <w:proofErr w:type="spellStart"/>
      <w:r w:rsidRPr="00084CBC">
        <w:rPr>
          <w:rFonts w:ascii="Arial" w:hAnsi="Arial" w:cs="Arial"/>
          <w:sz w:val="20"/>
          <w:szCs w:val="20"/>
        </w:rPr>
        <w:t>Alács</w:t>
      </w:r>
      <w:proofErr w:type="spellEnd"/>
      <w:r w:rsidRPr="00084CBC">
        <w:rPr>
          <w:rFonts w:ascii="Arial" w:hAnsi="Arial" w:cs="Arial"/>
          <w:sz w:val="20"/>
          <w:szCs w:val="20"/>
        </w:rPr>
        <w:t xml:space="preserve">: "Bereitstellung von schneller Regelleistung und </w:t>
      </w:r>
      <w:proofErr w:type="spellStart"/>
      <w:r w:rsidRPr="00084CBC">
        <w:rPr>
          <w:rFonts w:ascii="Arial" w:hAnsi="Arial" w:cs="Arial"/>
          <w:sz w:val="20"/>
          <w:szCs w:val="20"/>
        </w:rPr>
        <w:t>Momentanreserve</w:t>
      </w:r>
      <w:proofErr w:type="spellEnd"/>
      <w:r w:rsidRPr="00084CBC">
        <w:rPr>
          <w:rFonts w:ascii="Arial" w:hAnsi="Arial" w:cs="Arial"/>
          <w:sz w:val="20"/>
          <w:szCs w:val="20"/>
        </w:rPr>
        <w:t xml:space="preserve"> durch Batteriespeicher"; Diplomarbeit an der TU Wien, Fakultät für Elektrotechnik und Informationstechnik, Institut für Energiesysteme und Elektrische Antriebe, 2017; Abschlussprüfung: 10.03.2017.</w:t>
      </w:r>
    </w:p>
    <w:p w:rsidR="005E4D4F" w:rsidRDefault="005E4D4F" w:rsidP="00227125">
      <w:pPr>
        <w:pStyle w:val="Literatur"/>
        <w:rPr>
          <w:lang w:val="de-AT"/>
        </w:rPr>
      </w:pPr>
    </w:p>
    <w:p w:rsidR="00945A58" w:rsidRPr="00945A58" w:rsidRDefault="00945A58" w:rsidP="00945A58">
      <w:pPr>
        <w:pStyle w:val="Kommentartext"/>
        <w:rPr>
          <w:lang w:val="en-US"/>
        </w:rPr>
      </w:pPr>
      <w:r w:rsidRPr="00352BD2">
        <w:rPr>
          <w:rFonts w:cs="Arial"/>
          <w:b/>
          <w:color w:val="auto"/>
          <w:lang w:val="en-US"/>
        </w:rPr>
        <w:t>Acknowledgment:</w:t>
      </w:r>
      <w:r w:rsidRPr="003D3DCB">
        <w:rPr>
          <w:rFonts w:cs="Arial"/>
          <w:color w:val="auto"/>
          <w:lang w:val="en-US"/>
        </w:rPr>
        <w:t xml:space="preserve"> This research </w:t>
      </w:r>
      <w:r>
        <w:rPr>
          <w:rFonts w:cs="Arial"/>
          <w:color w:val="auto"/>
          <w:lang w:val="en-US"/>
        </w:rPr>
        <w:t>is</w:t>
      </w:r>
      <w:r w:rsidRPr="003D3DCB">
        <w:rPr>
          <w:rFonts w:cs="Arial"/>
          <w:color w:val="auto"/>
          <w:lang w:val="en-US"/>
        </w:rPr>
        <w:t xml:space="preserve"> carried out in the frames of the research project ABS4TSO (Advanced Balancing Services for Transmission System Operators). This project is funded by the Austrian Climate and Energy Fund within the </w:t>
      </w:r>
      <w:proofErr w:type="spellStart"/>
      <w:r w:rsidRPr="003D3DCB">
        <w:rPr>
          <w:rFonts w:cs="Arial"/>
          <w:color w:val="auto"/>
          <w:lang w:val="en-US"/>
        </w:rPr>
        <w:t>programme</w:t>
      </w:r>
      <w:proofErr w:type="spellEnd"/>
      <w:r w:rsidRPr="003D3DCB">
        <w:rPr>
          <w:rFonts w:cs="Arial"/>
          <w:color w:val="auto"/>
          <w:lang w:val="en-US"/>
        </w:rPr>
        <w:t xml:space="preserve"> “</w:t>
      </w:r>
      <w:proofErr w:type="spellStart"/>
      <w:r w:rsidRPr="003D3DCB">
        <w:rPr>
          <w:rFonts w:cs="Arial"/>
          <w:color w:val="auto"/>
          <w:lang w:val="en-US"/>
        </w:rPr>
        <w:t>Energieforschung</w:t>
      </w:r>
      <w:proofErr w:type="spellEnd"/>
      <w:r w:rsidRPr="003D3DCB">
        <w:rPr>
          <w:rFonts w:cs="Arial"/>
          <w:color w:val="auto"/>
          <w:lang w:val="en-US"/>
        </w:rPr>
        <w:t xml:space="preserve"> 2017”.</w:t>
      </w:r>
    </w:p>
    <w:sectPr w:rsidR="00945A58" w:rsidRPr="00945A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EED" w:rsidRDefault="00574EED">
      <w:r>
        <w:separator/>
      </w:r>
    </w:p>
  </w:endnote>
  <w:endnote w:type="continuationSeparator" w:id="0">
    <w:p w:rsidR="00574EED" w:rsidRDefault="0057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EED" w:rsidRDefault="00574EED">
      <w:r>
        <w:separator/>
      </w:r>
    </w:p>
  </w:footnote>
  <w:footnote w:type="continuationSeparator" w:id="0">
    <w:p w:rsidR="00574EED" w:rsidRDefault="00574EED">
      <w:r>
        <w:continuationSeparator/>
      </w:r>
    </w:p>
  </w:footnote>
  <w:footnote w:id="1">
    <w:p w:rsidR="00084CBC" w:rsidRPr="00FB69AE" w:rsidRDefault="00084CBC" w:rsidP="00084CBC">
      <w:r w:rsidRPr="00A115D2">
        <w:rPr>
          <w:rStyle w:val="Funotenzeichen"/>
        </w:rPr>
        <w:footnoteRef/>
      </w:r>
      <w:r w:rsidRPr="00D53E86">
        <w:t xml:space="preserve"> </w:t>
      </w:r>
      <w:r>
        <w:t xml:space="preserve">TU Wien, Institut für Energiesysteme und Elektrische Antriebe, Gusshausstraße 25, 1040 Wien, +43 158801 370126, </w:t>
      </w:r>
      <w:hyperlink r:id="rId1" w:history="1">
        <w:r w:rsidRPr="00F512B7">
          <w:rPr>
            <w:rStyle w:val="Hyperlink"/>
          </w:rPr>
          <w:t>alacs@ea.tuwien.ac.at</w:t>
        </w:r>
      </w:hyperlink>
      <w:r>
        <w:t xml:space="preserve"> (Jungautor)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F54EB9"/>
    <w:multiLevelType w:val="hybridMultilevel"/>
    <w:tmpl w:val="B25A9E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1CD4B06"/>
    <w:multiLevelType w:val="hybridMultilevel"/>
    <w:tmpl w:val="AE545E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447118"/>
    <w:multiLevelType w:val="hybridMultilevel"/>
    <w:tmpl w:val="C9F67B92"/>
    <w:lvl w:ilvl="0" w:tplc="A8AEC67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10E92"/>
    <w:rsid w:val="00084CBC"/>
    <w:rsid w:val="002014D3"/>
    <w:rsid w:val="00227125"/>
    <w:rsid w:val="00262FD5"/>
    <w:rsid w:val="002946B8"/>
    <w:rsid w:val="002D2386"/>
    <w:rsid w:val="00347E7F"/>
    <w:rsid w:val="00350F98"/>
    <w:rsid w:val="003B676F"/>
    <w:rsid w:val="003C28FE"/>
    <w:rsid w:val="00483B87"/>
    <w:rsid w:val="00574EED"/>
    <w:rsid w:val="005B1ADB"/>
    <w:rsid w:val="005E4D4F"/>
    <w:rsid w:val="00641D89"/>
    <w:rsid w:val="007378C8"/>
    <w:rsid w:val="00741EC0"/>
    <w:rsid w:val="00803917"/>
    <w:rsid w:val="008B4D38"/>
    <w:rsid w:val="00945A58"/>
    <w:rsid w:val="00A07737"/>
    <w:rsid w:val="00A156E4"/>
    <w:rsid w:val="00A6148D"/>
    <w:rsid w:val="00BF05FA"/>
    <w:rsid w:val="00CE1A70"/>
    <w:rsid w:val="00D305DC"/>
    <w:rsid w:val="00D42989"/>
    <w:rsid w:val="00D53E86"/>
    <w:rsid w:val="00D736F8"/>
    <w:rsid w:val="00DE25D9"/>
    <w:rsid w:val="00E520E6"/>
    <w:rsid w:val="00EA11EF"/>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7DFBF0-17BD-49C2-9EC3-EE107EE5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styleId="Listenabsatz">
    <w:name w:val="List Paragraph"/>
    <w:basedOn w:val="Standard"/>
    <w:uiPriority w:val="34"/>
    <w:qFormat/>
    <w:rsid w:val="00DE25D9"/>
    <w:pPr>
      <w:spacing w:after="160" w:line="259" w:lineRule="auto"/>
      <w:ind w:left="720"/>
      <w:contextualSpacing/>
      <w:jc w:val="left"/>
    </w:pPr>
    <w:rPr>
      <w:rFonts w:ascii="Times New Roman" w:eastAsia="Calibri" w:hAnsi="Times New Roman"/>
      <w:sz w:val="22"/>
      <w:szCs w:val="22"/>
      <w:lang w:val="de-AT" w:eastAsia="en-US"/>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styleId="Hyperlink">
    <w:name w:val="Hyperlink"/>
    <w:uiPriority w:val="99"/>
    <w:unhideWhenUsed/>
    <w:rsid w:val="00084CBC"/>
    <w:rPr>
      <w:color w:val="0563C1"/>
      <w:u w:val="single"/>
    </w:rPr>
  </w:style>
  <w:style w:type="paragraph" w:styleId="Kommentartext">
    <w:name w:val="annotation text"/>
    <w:basedOn w:val="Standard"/>
    <w:link w:val="KommentartextZchn"/>
    <w:semiHidden/>
    <w:unhideWhenUsed/>
    <w:rsid w:val="00945A58"/>
    <w:pPr>
      <w:jc w:val="left"/>
    </w:pPr>
    <w:rPr>
      <w:color w:val="000080"/>
      <w:szCs w:val="20"/>
      <w:lang w:val="en-GB" w:eastAsia="fr-FR"/>
    </w:rPr>
  </w:style>
  <w:style w:type="paragraph" w:customStyle="1" w:styleId="Literatur">
    <w:name w:val="Literatur"/>
    <w:basedOn w:val="Standard"/>
    <w:rsid w:val="005E4D4F"/>
    <w:pPr>
      <w:ind w:left="284" w:hanging="284"/>
    </w:pPr>
    <w:rPr>
      <w:rFonts w:cs="Arial"/>
      <w:szCs w:val="20"/>
      <w:lang w:eastAsia="de-DE"/>
    </w:rPr>
  </w:style>
  <w:style w:type="character" w:customStyle="1" w:styleId="KommentartextZchn">
    <w:name w:val="Kommentartext Zchn"/>
    <w:link w:val="Kommentartext"/>
    <w:semiHidden/>
    <w:rsid w:val="00945A58"/>
    <w:rPr>
      <w:rFonts w:ascii="Arial" w:hAnsi="Arial"/>
      <w:color w:val="000080"/>
      <w:lang w:val="en-GB" w:eastAsia="fr-FR"/>
    </w:rPr>
  </w:style>
  <w:style w:type="paragraph" w:styleId="Sprechblasentext">
    <w:name w:val="Balloon Text"/>
    <w:basedOn w:val="Standard"/>
    <w:link w:val="SprechblasentextZchn"/>
    <w:uiPriority w:val="99"/>
    <w:semiHidden/>
    <w:unhideWhenUsed/>
    <w:rsid w:val="00D305DC"/>
    <w:rPr>
      <w:rFonts w:ascii="Segoe UI" w:hAnsi="Segoe UI" w:cs="Segoe UI"/>
      <w:sz w:val="18"/>
      <w:szCs w:val="18"/>
    </w:rPr>
  </w:style>
  <w:style w:type="character" w:customStyle="1" w:styleId="SprechblasentextZchn">
    <w:name w:val="Sprechblasentext Zchn"/>
    <w:link w:val="Sprechblasentext"/>
    <w:uiPriority w:val="99"/>
    <w:semiHidden/>
    <w:rsid w:val="00D305DC"/>
    <w:rPr>
      <w:rFonts w:ascii="Segoe UI" w:hAnsi="Segoe UI" w:cs="Segoe UI"/>
      <w:sz w:val="18"/>
      <w:szCs w:val="18"/>
      <w:lang w:val="de-DE" w:eastAsia="ko-KR"/>
    </w:rPr>
  </w:style>
  <w:style w:type="character" w:styleId="Kommentarzeichen">
    <w:name w:val="annotation reference"/>
    <w:uiPriority w:val="99"/>
    <w:semiHidden/>
    <w:unhideWhenUsed/>
    <w:rsid w:val="00D305DC"/>
    <w:rPr>
      <w:sz w:val="16"/>
      <w:szCs w:val="16"/>
    </w:rPr>
  </w:style>
  <w:style w:type="paragraph" w:styleId="Kommentarthema">
    <w:name w:val="annotation subject"/>
    <w:basedOn w:val="Kommentartext"/>
    <w:next w:val="Kommentartext"/>
    <w:link w:val="KommentarthemaZchn"/>
    <w:uiPriority w:val="99"/>
    <w:semiHidden/>
    <w:unhideWhenUsed/>
    <w:rsid w:val="00D305DC"/>
    <w:pPr>
      <w:jc w:val="both"/>
    </w:pPr>
    <w:rPr>
      <w:b/>
      <w:bCs/>
      <w:color w:val="auto"/>
      <w:lang w:val="de-DE" w:eastAsia="ko-KR"/>
    </w:rPr>
  </w:style>
  <w:style w:type="character" w:customStyle="1" w:styleId="KommentarthemaZchn">
    <w:name w:val="Kommentarthema Zchn"/>
    <w:link w:val="Kommentarthema"/>
    <w:uiPriority w:val="99"/>
    <w:semiHidden/>
    <w:rsid w:val="00D305DC"/>
    <w:rPr>
      <w:rFonts w:ascii="Arial" w:hAnsi="Arial"/>
      <w:b/>
      <w:bCs/>
      <w:color w:val="000080"/>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039122">
      <w:bodyDiv w:val="1"/>
      <w:marLeft w:val="0"/>
      <w:marRight w:val="0"/>
      <w:marTop w:val="0"/>
      <w:marBottom w:val="0"/>
      <w:divBdr>
        <w:top w:val="none" w:sz="0" w:space="0" w:color="auto"/>
        <w:left w:val="none" w:sz="0" w:space="0" w:color="auto"/>
        <w:bottom w:val="none" w:sz="0" w:space="0" w:color="auto"/>
        <w:right w:val="none" w:sz="0" w:space="0" w:color="auto"/>
      </w:divBdr>
    </w:div>
    <w:div w:id="16298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lacs@ea.tuwien.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5116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5917</CharactersWithSpaces>
  <SharedDoc>false</SharedDoc>
  <HLinks>
    <vt:vector size="6" baseType="variant">
      <vt:variant>
        <vt:i4>1245230</vt:i4>
      </vt:variant>
      <vt:variant>
        <vt:i4>0</vt:i4>
      </vt:variant>
      <vt:variant>
        <vt:i4>0</vt:i4>
      </vt:variant>
      <vt:variant>
        <vt:i4>5</vt:i4>
      </vt:variant>
      <vt:variant>
        <vt:lpwstr>mailto:alacs@ea.tuwien.ac.at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Wolfgang Gawlik</cp:lastModifiedBy>
  <cp:revision>2</cp:revision>
  <dcterms:created xsi:type="dcterms:W3CDTF">2018-11-07T11:47:00Z</dcterms:created>
  <dcterms:modified xsi:type="dcterms:W3CDTF">2018-11-07T11:47:00Z</dcterms:modified>
</cp:coreProperties>
</file>