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5E4D4F" w:rsidRDefault="00FC14AB" w:rsidP="005E4D4F">
      <w:pPr>
        <w:pStyle w:val="Abstract-Titel"/>
      </w:pPr>
      <w:r>
        <w:t xml:space="preserve">Erfolgreiche </w:t>
      </w:r>
      <w:proofErr w:type="spellStart"/>
      <w:r>
        <w:t>Dekarbonisierungspfade</w:t>
      </w:r>
      <w:proofErr w:type="spellEnd"/>
      <w:r>
        <w:t xml:space="preserve"> der Industrie berücksichtigen k</w:t>
      </w:r>
      <w:r w:rsidR="004807E9">
        <w:t>urzfristige Vermeidungsoptionen</w:t>
      </w:r>
    </w:p>
    <w:p w:rsidR="00BF05FA" w:rsidRDefault="00FC14AB" w:rsidP="00A156E4">
      <w:pPr>
        <w:pStyle w:val="AutorenOrganisation"/>
      </w:pPr>
      <w:r>
        <w:t>(7) Industrie</w:t>
      </w:r>
    </w:p>
    <w:p w:rsidR="005E4D4F" w:rsidRPr="005E4D4F" w:rsidRDefault="00FC14AB" w:rsidP="00A156E4">
      <w:pPr>
        <w:pStyle w:val="AutorenOrganisation"/>
      </w:pPr>
      <w:r>
        <w:t>Matthias REHFELDT</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Tobias FLEITER</w:t>
      </w:r>
      <w:r w:rsidR="00A156E4" w:rsidRPr="00A156E4">
        <w:rPr>
          <w:vertAlign w:val="superscript"/>
        </w:rPr>
        <w:t>(</w:t>
      </w:r>
      <w:r>
        <w:rPr>
          <w:vertAlign w:val="superscript"/>
        </w:rPr>
        <w:t>1</w:t>
      </w:r>
      <w:r w:rsidR="00A156E4">
        <w:rPr>
          <w:vertAlign w:val="superscript"/>
        </w:rPr>
        <w:t>)</w:t>
      </w:r>
      <w:r>
        <w:t xml:space="preserve">, </w:t>
      </w:r>
      <w:r w:rsidRPr="00FC14AB">
        <w:t>Andrea HERBST</w:t>
      </w:r>
      <w:r w:rsidRPr="00A156E4">
        <w:rPr>
          <w:vertAlign w:val="superscript"/>
        </w:rPr>
        <w:t>(</w:t>
      </w:r>
      <w:r>
        <w:rPr>
          <w:vertAlign w:val="superscript"/>
        </w:rPr>
        <w:t>1)</w:t>
      </w:r>
    </w:p>
    <w:p w:rsidR="005E4D4F" w:rsidRDefault="00A156E4" w:rsidP="005E4D4F">
      <w:pPr>
        <w:pStyle w:val="AutorenOrganisation"/>
      </w:pPr>
      <w:r>
        <w:rPr>
          <w:vertAlign w:val="superscript"/>
        </w:rPr>
        <w:t>(</w:t>
      </w:r>
      <w:proofErr w:type="gramStart"/>
      <w:r w:rsidR="00010E92" w:rsidRPr="00010E92">
        <w:rPr>
          <w:vertAlign w:val="superscript"/>
        </w:rPr>
        <w:t>1</w:t>
      </w:r>
      <w:r>
        <w:rPr>
          <w:vertAlign w:val="superscript"/>
        </w:rPr>
        <w:t>)</w:t>
      </w:r>
      <w:r w:rsidR="00FC14AB">
        <w:t>Fraunhofer</w:t>
      </w:r>
      <w:proofErr w:type="gramEnd"/>
      <w:r w:rsidR="00FC14AB">
        <w:t>-Institut für System- und Innovationsforschung ISI</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020A35" w:rsidRDefault="00020A35" w:rsidP="00227125">
      <w:r>
        <w:t>Im kürzlich veröffentlichten Sonderbericht des IPCC über die Pfade zu und Folgen einer globalen Erwärmung von 1.5°C wird hervorgehoben, dass 1.5°C-Pfade bis 2030 Emissionsreduktionen um 45% aufweisen (2°C: 10-30%)</w:t>
      </w:r>
      <w:r w:rsidR="0061788E">
        <w:t xml:space="preserve"> [</w:t>
      </w:r>
      <w:r w:rsidR="00A32845" w:rsidRPr="00A32845">
        <w:t>(IPCC)</w:t>
      </w:r>
      <w:r w:rsidR="0061788E">
        <w:t>]</w:t>
      </w:r>
      <w:r>
        <w:t xml:space="preserve">. </w:t>
      </w:r>
      <w:r w:rsidR="0061788E">
        <w:t xml:space="preserve">Unter der Annahme, dass diese Minderungen näherungsweise von allen Sektoren erbracht werden müssen, besteht im Industriesektor besonderer Handlungsdruck: Industrielle Anlagen sind durch lange Lebensdauern gekennzeichnet und die Einführung innovativer Prozesse in relevanter Größenordnung </w:t>
      </w:r>
      <w:r w:rsidR="006C3F35">
        <w:t xml:space="preserve">wird von Experten </w:t>
      </w:r>
      <w:r w:rsidR="000A6C16">
        <w:t>und</w:t>
      </w:r>
      <w:r w:rsidR="006C3F35">
        <w:t xml:space="preserve"> </w:t>
      </w:r>
      <w:r w:rsidR="0061788E">
        <w:t>Stakeholdern erst nach 2035 erwartet</w:t>
      </w:r>
      <w:r w:rsidR="006C3F35">
        <w:t xml:space="preserve"> [</w:t>
      </w:r>
      <w:r w:rsidR="00A32845" w:rsidRPr="00A32845">
        <w:t>(</w:t>
      </w:r>
      <w:proofErr w:type="spellStart"/>
      <w:r w:rsidR="00A32845" w:rsidRPr="00A32845">
        <w:t>Lechtenböhmer</w:t>
      </w:r>
      <w:proofErr w:type="spellEnd"/>
      <w:r w:rsidR="00A32845" w:rsidRPr="00A32845">
        <w:t xml:space="preserve"> et al., 2016)</w:t>
      </w:r>
      <w:r w:rsidR="00A32845">
        <w:t xml:space="preserve">, </w:t>
      </w:r>
      <w:r w:rsidR="00A32845" w:rsidRPr="00A32845">
        <w:t>(</w:t>
      </w:r>
      <w:proofErr w:type="spellStart"/>
      <w:r w:rsidR="00A32845" w:rsidRPr="00A32845">
        <w:t>Hybrit</w:t>
      </w:r>
      <w:proofErr w:type="spellEnd"/>
      <w:r w:rsidR="00A32845" w:rsidRPr="00A32845">
        <w:t xml:space="preserve"> Development AB et al., 2018)</w:t>
      </w:r>
      <w:r w:rsidR="006C3F35">
        <w:t>]</w:t>
      </w:r>
      <w:r w:rsidR="0061788E">
        <w:t xml:space="preserve">. In diesem Beitrag wird daher untersucht, welchen Beitrag kurzfristige Maßnahmen (Energieeffizienz und Brennstoffwechsel) </w:t>
      </w:r>
      <w:r w:rsidR="006C3F35">
        <w:t xml:space="preserve">zur Gestaltung eines erfolgreichen </w:t>
      </w:r>
      <w:proofErr w:type="spellStart"/>
      <w:r w:rsidR="002E5A29">
        <w:t>Dekarbonisierungs</w:t>
      </w:r>
      <w:r w:rsidR="006C3F35">
        <w:t>pfades</w:t>
      </w:r>
      <w:proofErr w:type="spellEnd"/>
      <w:r w:rsidR="006C3F35">
        <w:t xml:space="preserve"> leisten können, der zudem mit langfristigen Lösungen kompatibel ist.</w:t>
      </w:r>
    </w:p>
    <w:p w:rsidR="00020A35" w:rsidRPr="005E4D4F" w:rsidRDefault="00020A35" w:rsidP="00227125"/>
    <w:p w:rsidR="005E4D4F" w:rsidRPr="005E4D4F" w:rsidRDefault="005E4D4F" w:rsidP="005E4D4F">
      <w:pPr>
        <w:pStyle w:val="Ueberschrift"/>
      </w:pPr>
      <w:r w:rsidRPr="005E4D4F">
        <w:t>Methodische Vorgangsweise</w:t>
      </w:r>
    </w:p>
    <w:p w:rsidR="005E4D4F" w:rsidRDefault="006C3F35" w:rsidP="00227125">
      <w:r>
        <w:t xml:space="preserve">Die Fragestellung wird mit den Mitteln der </w:t>
      </w:r>
      <w:proofErr w:type="spellStart"/>
      <w:r>
        <w:t>Szenarioanalyse</w:t>
      </w:r>
      <w:proofErr w:type="spellEnd"/>
      <w:r>
        <w:t xml:space="preserve"> untersucht. Dazu wird das Energienachfragesimulationsmodell FORECAST eingesetzt [</w:t>
      </w:r>
      <w:r w:rsidR="00A32845" w:rsidRPr="00A32845">
        <w:t>(Fraunhofer ISI, 2018)</w:t>
      </w:r>
      <w:r>
        <w:t>]</w:t>
      </w:r>
      <w:r w:rsidR="00181691">
        <w:t>, das die Entscheidung für Energieträger und Technologien aus Sicht der Industrie unter politisch beeinflussbaren Rahmenbedingungen simuliert</w:t>
      </w:r>
      <w:r>
        <w:t xml:space="preserve">. Es werden verschiedene </w:t>
      </w:r>
      <w:r w:rsidR="005636CF">
        <w:t>Langfristszenarien hinterlegt, die i</w:t>
      </w:r>
      <w:r>
        <w:t xml:space="preserve">n der aktuellen Literatur diskutierte </w:t>
      </w:r>
      <w:r w:rsidR="005636CF">
        <w:t>Technologien</w:t>
      </w:r>
      <w:r>
        <w:t xml:space="preserve"> </w:t>
      </w:r>
      <w:r w:rsidR="005636CF">
        <w:t xml:space="preserve">einsetzen </w:t>
      </w:r>
      <w:r>
        <w:t>(z.B. verstärkte Biomasse-, Wasserstoff</w:t>
      </w:r>
      <w:r w:rsidR="005636CF">
        <w:t xml:space="preserve">- oder Elektrizitätsnutzung). Die </w:t>
      </w:r>
      <w:r w:rsidR="008A57D2">
        <w:t>Technologien werden</w:t>
      </w:r>
      <w:r w:rsidR="004C44BA">
        <w:t xml:space="preserve"> als geeignet angesehen, bis 2050 Reduktionen zwischen 90</w:t>
      </w:r>
      <w:r w:rsidR="00E26529">
        <w:t>-95% im Vergleich zu 2010</w:t>
      </w:r>
      <w:r w:rsidR="004C44BA">
        <w:t xml:space="preserve"> zu erreichen. Da sich viele dieser Szenarien auf den Einsatz </w:t>
      </w:r>
      <w:r w:rsidR="009D5F7E">
        <w:t xml:space="preserve">spät (ab 2035) verfügbarer </w:t>
      </w:r>
      <w:r w:rsidR="004C44BA">
        <w:t>innovativer Prozesse in der Chemie (Ammoniak, Ethylen, Methanol), der Stahlindustrie (Direktreduktion mit Wasserstoff) und den nicht-metallischen Mineralien (neue Zementsorten) ausrichten, sind sie nicht kompatibel mit den schnellen Emissionsreduktionen, die im Sonderbericht des IPCC als konsistent mit 1.5°C-Pfaden angesehen werden.</w:t>
      </w:r>
      <w:r w:rsidR="009D5F7E">
        <w:t xml:space="preserve"> Auch die Kompatibilität mit vielen 2°C-Pfaden ist fraglich. In diesem Beitrag werden daher die Langfristszenarien mit Maßnahmen ergänzt, </w:t>
      </w:r>
      <w:r w:rsidR="00A73876">
        <w:t>welche</w:t>
      </w:r>
      <w:r w:rsidR="009D5F7E">
        <w:t xml:space="preserve"> bereits bis 2030 ihre Wirkung entfalten. Dazu gehören:</w:t>
      </w:r>
    </w:p>
    <w:p w:rsidR="002717B7" w:rsidRDefault="002717B7" w:rsidP="00227125"/>
    <w:p w:rsidR="009D5F7E" w:rsidRDefault="003817EA" w:rsidP="009D5F7E">
      <w:pPr>
        <w:numPr>
          <w:ilvl w:val="0"/>
          <w:numId w:val="5"/>
        </w:numPr>
      </w:pPr>
      <w:r>
        <w:t>Ökonomische Anreize zum Brennstoffwechsel</w:t>
      </w:r>
    </w:p>
    <w:p w:rsidR="002717B7" w:rsidRDefault="002717B7" w:rsidP="009D5F7E">
      <w:pPr>
        <w:numPr>
          <w:ilvl w:val="0"/>
          <w:numId w:val="5"/>
        </w:numPr>
      </w:pPr>
      <w:r>
        <w:t>Material- und Energieeffizienz</w:t>
      </w:r>
    </w:p>
    <w:p w:rsidR="003817EA" w:rsidRDefault="002717B7" w:rsidP="003817EA">
      <w:pPr>
        <w:numPr>
          <w:ilvl w:val="0"/>
          <w:numId w:val="5"/>
        </w:numPr>
      </w:pPr>
      <w:r>
        <w:t>Vorzeitiger Austausch von Bestandsanlagen der Prozesswärmebereitstellung</w:t>
      </w:r>
    </w:p>
    <w:p w:rsidR="002717B7" w:rsidRDefault="002717B7" w:rsidP="002717B7"/>
    <w:p w:rsidR="002717B7" w:rsidRDefault="002717B7" w:rsidP="002717B7">
      <w:r>
        <w:t xml:space="preserve">Die Effekte (Emissionsreduktionen, Differenzkosten, Energienachfrage) dieser Maßnahmen werden bewertet und ihre Kompatibilität </w:t>
      </w:r>
      <w:r w:rsidR="003817EA">
        <w:t xml:space="preserve">mit den Langfristszenarien beurteilt. Im Rahmen dieser Bewertung wird auch festgestellt, ob Pfadabhängigkeiten (z.B. </w:t>
      </w:r>
      <w:r w:rsidR="00181691">
        <w:t>durch Investitionen in Erzeugungstechnologien</w:t>
      </w:r>
      <w:r w:rsidR="003817EA">
        <w:t xml:space="preserve">) </w:t>
      </w:r>
      <w:r w:rsidR="00181691">
        <w:t xml:space="preserve">Herausforderungen für Industrie und Politik </w:t>
      </w:r>
      <w:r w:rsidR="003817EA">
        <w:t>darstellen.</w:t>
      </w:r>
    </w:p>
    <w:p w:rsidR="005E4D4F" w:rsidRPr="005E4D4F" w:rsidRDefault="005E4D4F" w:rsidP="00227125"/>
    <w:p w:rsidR="005E4D4F" w:rsidRPr="005E4D4F" w:rsidRDefault="005E4D4F" w:rsidP="005E4D4F">
      <w:pPr>
        <w:pStyle w:val="Ueberschrift"/>
      </w:pPr>
      <w:r w:rsidRPr="005E4D4F">
        <w:t>Ergebnisse und Schlussfolgerungen</w:t>
      </w:r>
    </w:p>
    <w:p w:rsidR="005E4D4F" w:rsidRDefault="005636CF" w:rsidP="00227125">
      <w:r>
        <w:t xml:space="preserve">Wenngleich die bisherigen Ergebnisse lediglich vorläufiger Natur sind, lassen sich </w:t>
      </w:r>
      <w:r w:rsidR="008A57D2">
        <w:t xml:space="preserve">bereits erste </w:t>
      </w:r>
      <w:r w:rsidR="004807E9">
        <w:t>Einschätzungen</w:t>
      </w:r>
      <w:r w:rsidR="008A57D2">
        <w:t xml:space="preserve"> zu den zu erwarteten Einsparungen der </w:t>
      </w:r>
      <w:proofErr w:type="spellStart"/>
      <w:r w:rsidR="008A57D2">
        <w:t>Szenarioentwürfe</w:t>
      </w:r>
      <w:proofErr w:type="spellEnd"/>
      <w:r w:rsidR="008A57D2">
        <w:t xml:space="preserve"> </w:t>
      </w:r>
      <w:r w:rsidR="004807E9">
        <w:t>treffen</w:t>
      </w:r>
      <w:r w:rsidR="008A57D2">
        <w:t xml:space="preserve"> (Tabelle </w:t>
      </w:r>
      <w:r w:rsidR="00A32845">
        <w:t>1</w:t>
      </w:r>
      <w:r w:rsidR="008A57D2">
        <w:t>).</w:t>
      </w:r>
      <w:r w:rsidR="00BF1C5E">
        <w:t xml:space="preserve"> Die auf thematisch zusammenhängende Maßnahmen konzentrierten Szenarien (Effizienz, Biomasse, Strom) erreichen </w:t>
      </w:r>
      <w:r w:rsidR="007B0E07">
        <w:t>überwiegend nicht die anvisierte Reduktionsmarke bis 2030. Lediglich die Kombinatio</w:t>
      </w:r>
      <w:r w:rsidR="002201F7">
        <w:t>n verschiedener Maßnahmen (‚Maßnahmenmix‘</w:t>
      </w:r>
      <w:r w:rsidR="007B0E07">
        <w:t xml:space="preserve"> sowie </w:t>
      </w:r>
      <w:r w:rsidR="002201F7">
        <w:t>‚Biomasse/Kreislauf‘</w:t>
      </w:r>
      <w:r w:rsidR="007B0E07">
        <w:t>) können bis 2030 Reduktionen über 30% realisieren. Langfri</w:t>
      </w:r>
      <w:r w:rsidR="002201F7">
        <w:t>stig kann nur das Szenario ’Maßnahmenmix‘</w:t>
      </w:r>
      <w:r w:rsidR="007B0E07">
        <w:t xml:space="preserve"> eine tiefe Dekarbonisierung des Industriesektors (mit -92%) plausibel </w:t>
      </w:r>
      <w:r w:rsidR="004807E9">
        <w:t>darstellen</w:t>
      </w:r>
      <w:r w:rsidR="007B0E07">
        <w:t>. Die dort vorhandenen Restemissionen bestehen beinahe ausschließlich aus kleinteiligen Prozess</w:t>
      </w:r>
      <w:r w:rsidR="00800A21">
        <w:t>emissionen, die auch mit CCS nicht unmittelbar erreichbar sind.</w:t>
      </w:r>
    </w:p>
    <w:p w:rsidR="001A1F3D" w:rsidRDefault="001A1F3D" w:rsidP="00227125"/>
    <w:p w:rsidR="001A1F3D" w:rsidRDefault="001A1F3D" w:rsidP="00227125">
      <w:r>
        <w:lastRenderedPageBreak/>
        <w:t>Insgesamt ist zu erkennen, dass alle Szenarien zur Erreichung der mit einem 1.5°C-Szenario verbundenen Emissi</w:t>
      </w:r>
      <w:r w:rsidR="00614CB6">
        <w:t>onsreduktionen weitere schnell</w:t>
      </w:r>
      <w:r>
        <w:t xml:space="preserve"> wirkende Maßnahmen in Betracht ziehen müssen. </w:t>
      </w:r>
      <w:bookmarkStart w:id="0" w:name="_GoBack"/>
      <w:bookmarkEnd w:id="0"/>
      <w:r>
        <w:t>Inwieweit diese ökonomisch und technisch umsetzbar sind, wird die finale Analyse zeigen. Momentan ist nicht auszuschließen, dass der Industriesektor für sich genommen diese Ziele nicht erreichen kann und auf Mehrleistungen anderer Sektoren angewiesen ist. Darüber hinaus kann bereits jetzt aus der in vielen Szenarien wichtigen Elektrifizierung der Wärmebereitstellung gefolgert werden, dass die Dekarbonisierung der Stromerzeugung eine zentrale Voraussetzung für die Dekarbonisierung der Industrie ist.</w:t>
      </w:r>
    </w:p>
    <w:p w:rsidR="008A57D2" w:rsidRDefault="008A57D2" w:rsidP="00227125"/>
    <w:p w:rsidR="008A57D2" w:rsidRDefault="008A57D2" w:rsidP="008A57D2">
      <w:pPr>
        <w:pStyle w:val="Abbildungsbeschriftung"/>
      </w:pPr>
      <w:r>
        <w:t>Tabelle</w:t>
      </w:r>
      <w:r w:rsidRPr="002946B8">
        <w:t xml:space="preserve"> 1: </w:t>
      </w:r>
      <w:r w:rsidR="00BF1C5E">
        <w:t>Schätzungen der</w:t>
      </w:r>
      <w:r w:rsidRPr="008A57D2">
        <w:t xml:space="preserve"> Emissionsreduktion je Szenario in</w:t>
      </w:r>
      <w:r w:rsidR="00BF1C5E">
        <w:t xml:space="preserve"> 2030 und 2050 im Vergleich mit 2015 </w:t>
      </w:r>
      <w:r w:rsidRPr="008A57D2">
        <w:t xml:space="preserve">(EU28, in </w:t>
      </w:r>
      <w:proofErr w:type="spellStart"/>
      <w:r w:rsidRPr="008A57D2">
        <w:t>Mt</w:t>
      </w:r>
      <w:proofErr w:type="spellEnd"/>
      <w:r w:rsidRPr="008A57D2">
        <w:t>)</w:t>
      </w:r>
    </w:p>
    <w:tbl>
      <w:tblPr>
        <w:tblW w:w="0" w:type="auto"/>
        <w:tblInd w:w="108" w:type="dxa"/>
        <w:tblLook w:val="04A0" w:firstRow="1" w:lastRow="0" w:firstColumn="1" w:lastColumn="0" w:noHBand="0" w:noVBand="1"/>
      </w:tblPr>
      <w:tblGrid>
        <w:gridCol w:w="1735"/>
        <w:gridCol w:w="661"/>
        <w:gridCol w:w="661"/>
        <w:gridCol w:w="661"/>
        <w:gridCol w:w="2085"/>
        <w:gridCol w:w="2085"/>
      </w:tblGrid>
      <w:tr w:rsidR="00145CE2" w:rsidRPr="00145CE2" w:rsidTr="00145CE2">
        <w:trPr>
          <w:trHeight w:val="315"/>
        </w:trPr>
        <w:tc>
          <w:tcPr>
            <w:tcW w:w="0" w:type="auto"/>
            <w:tcBorders>
              <w:top w:val="nil"/>
              <w:left w:val="nil"/>
              <w:bottom w:val="single" w:sz="12" w:space="0" w:color="20A5FF"/>
              <w:right w:val="single" w:sz="8" w:space="0" w:color="D8E0E3"/>
            </w:tcBorders>
            <w:shd w:val="clear" w:color="000000" w:fill="808080"/>
            <w:noWrap/>
            <w:vAlign w:val="center"/>
            <w:hideMark/>
          </w:tcPr>
          <w:p w:rsidR="00145CE2" w:rsidRPr="00145CE2" w:rsidRDefault="00145CE2" w:rsidP="00145CE2">
            <w:pPr>
              <w:jc w:val="left"/>
              <w:rPr>
                <w:rFonts w:cs="Arial"/>
                <w:color w:val="FFFFFF"/>
                <w:szCs w:val="20"/>
                <w:lang w:val="en-US" w:eastAsia="en-US"/>
              </w:rPr>
            </w:pPr>
            <w:r w:rsidRPr="00145CE2">
              <w:rPr>
                <w:rFonts w:cs="Arial"/>
                <w:color w:val="FFFFFF"/>
                <w:szCs w:val="20"/>
                <w:lang w:eastAsia="en-US"/>
              </w:rPr>
              <w:t>Szenario</w:t>
            </w:r>
          </w:p>
        </w:tc>
        <w:tc>
          <w:tcPr>
            <w:tcW w:w="0" w:type="auto"/>
            <w:tcBorders>
              <w:top w:val="nil"/>
              <w:left w:val="nil"/>
              <w:bottom w:val="single" w:sz="12" w:space="0" w:color="20A5FF"/>
              <w:right w:val="single" w:sz="8" w:space="0" w:color="D8E0E3"/>
            </w:tcBorders>
            <w:shd w:val="clear" w:color="000000" w:fill="808080"/>
            <w:noWrap/>
            <w:vAlign w:val="center"/>
            <w:hideMark/>
          </w:tcPr>
          <w:p w:rsidR="00145CE2" w:rsidRPr="00145CE2" w:rsidRDefault="004807E9" w:rsidP="00145CE2">
            <w:pPr>
              <w:jc w:val="right"/>
              <w:rPr>
                <w:rFonts w:cs="Arial"/>
                <w:color w:val="FFFFFF"/>
                <w:szCs w:val="20"/>
                <w:lang w:val="en-US" w:eastAsia="en-US"/>
              </w:rPr>
            </w:pPr>
            <w:r>
              <w:rPr>
                <w:rFonts w:cs="Arial"/>
                <w:color w:val="FFFFFF"/>
                <w:szCs w:val="20"/>
                <w:lang w:eastAsia="en-US"/>
              </w:rPr>
              <w:t>2</w:t>
            </w:r>
            <w:r w:rsidR="00145CE2" w:rsidRPr="00145CE2">
              <w:rPr>
                <w:rFonts w:cs="Arial"/>
                <w:color w:val="FFFFFF"/>
                <w:szCs w:val="20"/>
                <w:lang w:eastAsia="en-US"/>
              </w:rPr>
              <w:t>015</w:t>
            </w:r>
          </w:p>
        </w:tc>
        <w:tc>
          <w:tcPr>
            <w:tcW w:w="0" w:type="auto"/>
            <w:tcBorders>
              <w:top w:val="nil"/>
              <w:left w:val="nil"/>
              <w:bottom w:val="single" w:sz="12" w:space="0" w:color="20A5FF"/>
              <w:right w:val="single" w:sz="8" w:space="0" w:color="D8E0E3"/>
            </w:tcBorders>
            <w:shd w:val="clear" w:color="000000" w:fill="808080"/>
            <w:noWrap/>
            <w:vAlign w:val="center"/>
            <w:hideMark/>
          </w:tcPr>
          <w:p w:rsidR="00145CE2" w:rsidRPr="00145CE2" w:rsidRDefault="00145CE2" w:rsidP="00145CE2">
            <w:pPr>
              <w:jc w:val="right"/>
              <w:rPr>
                <w:rFonts w:cs="Arial"/>
                <w:color w:val="FFFFFF"/>
                <w:szCs w:val="20"/>
                <w:lang w:val="en-US" w:eastAsia="en-US"/>
              </w:rPr>
            </w:pPr>
            <w:r w:rsidRPr="00145CE2">
              <w:rPr>
                <w:rFonts w:cs="Arial"/>
                <w:color w:val="FFFFFF"/>
                <w:szCs w:val="20"/>
                <w:lang w:val="en-US" w:eastAsia="en-US"/>
              </w:rPr>
              <w:t>2030</w:t>
            </w:r>
          </w:p>
        </w:tc>
        <w:tc>
          <w:tcPr>
            <w:tcW w:w="0" w:type="auto"/>
            <w:tcBorders>
              <w:top w:val="nil"/>
              <w:left w:val="nil"/>
              <w:bottom w:val="single" w:sz="12" w:space="0" w:color="20A5FF"/>
              <w:right w:val="single" w:sz="8" w:space="0" w:color="D8E0E3"/>
            </w:tcBorders>
            <w:shd w:val="clear" w:color="000000" w:fill="808080"/>
            <w:noWrap/>
            <w:vAlign w:val="center"/>
            <w:hideMark/>
          </w:tcPr>
          <w:p w:rsidR="00145CE2" w:rsidRPr="00145CE2" w:rsidRDefault="00145CE2" w:rsidP="00145CE2">
            <w:pPr>
              <w:jc w:val="right"/>
              <w:rPr>
                <w:rFonts w:cs="Arial"/>
                <w:color w:val="FFFFFF"/>
                <w:szCs w:val="20"/>
                <w:lang w:val="en-US" w:eastAsia="en-US"/>
              </w:rPr>
            </w:pPr>
            <w:r w:rsidRPr="00145CE2">
              <w:rPr>
                <w:rFonts w:cs="Arial"/>
                <w:color w:val="FFFFFF"/>
                <w:szCs w:val="20"/>
                <w:lang w:eastAsia="en-US"/>
              </w:rPr>
              <w:t>2050</w:t>
            </w:r>
          </w:p>
        </w:tc>
        <w:tc>
          <w:tcPr>
            <w:tcW w:w="0" w:type="auto"/>
            <w:tcBorders>
              <w:top w:val="nil"/>
              <w:left w:val="nil"/>
              <w:bottom w:val="single" w:sz="12" w:space="0" w:color="20A5FF"/>
              <w:right w:val="single" w:sz="8" w:space="0" w:color="D8E0E3"/>
            </w:tcBorders>
            <w:shd w:val="clear" w:color="000000" w:fill="808080"/>
            <w:noWrap/>
            <w:vAlign w:val="center"/>
            <w:hideMark/>
          </w:tcPr>
          <w:p w:rsidR="00145CE2" w:rsidRPr="00145CE2" w:rsidRDefault="00145CE2" w:rsidP="00145CE2">
            <w:pPr>
              <w:jc w:val="left"/>
              <w:rPr>
                <w:rFonts w:cs="Arial"/>
                <w:color w:val="FFFFFF"/>
                <w:szCs w:val="20"/>
                <w:lang w:val="en-US" w:eastAsia="en-US"/>
              </w:rPr>
            </w:pPr>
            <w:r w:rsidRPr="00145CE2">
              <w:rPr>
                <w:rFonts w:cs="Arial"/>
                <w:color w:val="FFFFFF"/>
                <w:szCs w:val="20"/>
                <w:lang w:eastAsia="en-US"/>
              </w:rPr>
              <w:t>Änderung 2030/2015</w:t>
            </w:r>
          </w:p>
        </w:tc>
        <w:tc>
          <w:tcPr>
            <w:tcW w:w="0" w:type="auto"/>
            <w:tcBorders>
              <w:top w:val="nil"/>
              <w:left w:val="nil"/>
              <w:bottom w:val="single" w:sz="12" w:space="0" w:color="20A5FF"/>
              <w:right w:val="single" w:sz="8" w:space="0" w:color="D8E0E3"/>
            </w:tcBorders>
            <w:shd w:val="clear" w:color="000000" w:fill="808080"/>
            <w:noWrap/>
            <w:vAlign w:val="center"/>
            <w:hideMark/>
          </w:tcPr>
          <w:p w:rsidR="00145CE2" w:rsidRPr="00145CE2" w:rsidRDefault="00145CE2" w:rsidP="00145CE2">
            <w:pPr>
              <w:jc w:val="left"/>
              <w:rPr>
                <w:rFonts w:cs="Arial"/>
                <w:color w:val="FFFFFF"/>
                <w:szCs w:val="20"/>
                <w:lang w:val="en-US" w:eastAsia="en-US"/>
              </w:rPr>
            </w:pPr>
            <w:r w:rsidRPr="00145CE2">
              <w:rPr>
                <w:rFonts w:cs="Arial"/>
                <w:color w:val="FFFFFF"/>
                <w:szCs w:val="20"/>
                <w:lang w:eastAsia="en-US"/>
              </w:rPr>
              <w:t>Änderung 2050/2015</w:t>
            </w:r>
          </w:p>
        </w:tc>
      </w:tr>
      <w:tr w:rsidR="00145CE2" w:rsidRPr="00145CE2" w:rsidTr="00145CE2">
        <w:trPr>
          <w:trHeight w:val="330"/>
        </w:trPr>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left"/>
              <w:rPr>
                <w:rFonts w:ascii="Calibri" w:hAnsi="Calibri"/>
                <w:b/>
                <w:bCs/>
                <w:color w:val="000000"/>
                <w:szCs w:val="20"/>
                <w:lang w:eastAsia="en-US"/>
              </w:rPr>
            </w:pPr>
            <w:r w:rsidRPr="00145CE2">
              <w:rPr>
                <w:rFonts w:ascii="Calibri" w:hAnsi="Calibri"/>
                <w:b/>
                <w:bCs/>
                <w:color w:val="000000"/>
                <w:szCs w:val="20"/>
                <w:lang w:eastAsia="en-US"/>
              </w:rPr>
              <w:t>1 Referenz</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761</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US" w:eastAsia="en-US"/>
              </w:rPr>
              <w:t>700</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665</w:t>
            </w:r>
          </w:p>
        </w:tc>
        <w:tc>
          <w:tcPr>
            <w:tcW w:w="0" w:type="auto"/>
            <w:tcBorders>
              <w:top w:val="nil"/>
              <w:left w:val="nil"/>
              <w:bottom w:val="single" w:sz="8" w:space="0" w:color="D8E0E3"/>
              <w:right w:val="nil"/>
            </w:tcBorders>
            <w:noWrap/>
            <w:vAlign w:val="bottom"/>
            <w:hideMark/>
          </w:tcPr>
          <w:p w:rsidR="00145CE2" w:rsidRPr="00145CE2" w:rsidRDefault="0067334B" w:rsidP="00145CE2">
            <w:pPr>
              <w:jc w:val="center"/>
              <w:rPr>
                <w:rFonts w:cs="Arial"/>
                <w:color w:val="000000"/>
                <w:szCs w:val="20"/>
                <w:lang w:val="en-US" w:eastAsia="en-US"/>
              </w:rPr>
            </w:pPr>
            <w:r>
              <w:rPr>
                <w:rFonts w:cs="Arial"/>
                <w:color w:val="000000"/>
                <w:szCs w:val="20"/>
                <w:lang w:val="en-US" w:eastAsia="en-US"/>
              </w:rPr>
              <w:t>-</w:t>
            </w:r>
            <w:r w:rsidR="00145CE2" w:rsidRPr="00145CE2">
              <w:rPr>
                <w:rFonts w:cs="Arial"/>
                <w:color w:val="000000"/>
                <w:szCs w:val="20"/>
                <w:lang w:val="en-US" w:eastAsia="en-US"/>
              </w:rPr>
              <w:t>8%</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-13%</w:t>
            </w:r>
          </w:p>
        </w:tc>
      </w:tr>
      <w:tr w:rsidR="00145CE2" w:rsidRPr="00145CE2" w:rsidTr="00145CE2">
        <w:trPr>
          <w:trHeight w:val="315"/>
        </w:trPr>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left"/>
              <w:rPr>
                <w:rFonts w:ascii="Calibri" w:hAnsi="Calibri"/>
                <w:b/>
                <w:bCs/>
                <w:color w:val="000000"/>
                <w:szCs w:val="20"/>
                <w:lang w:eastAsia="en-US"/>
              </w:rPr>
            </w:pPr>
            <w:r w:rsidRPr="00145CE2">
              <w:rPr>
                <w:rFonts w:ascii="Calibri" w:hAnsi="Calibri"/>
                <w:b/>
                <w:bCs/>
                <w:color w:val="000000"/>
                <w:szCs w:val="20"/>
                <w:lang w:eastAsia="en-US"/>
              </w:rPr>
              <w:t>2 Energieeffizienz</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761</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US" w:eastAsia="en-US"/>
              </w:rPr>
              <w:t>615</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493</w:t>
            </w:r>
          </w:p>
        </w:tc>
        <w:tc>
          <w:tcPr>
            <w:tcW w:w="0" w:type="auto"/>
            <w:tcBorders>
              <w:top w:val="nil"/>
              <w:left w:val="nil"/>
              <w:bottom w:val="single" w:sz="8" w:space="0" w:color="D8E0E3"/>
              <w:right w:val="nil"/>
            </w:tcBorders>
            <w:noWrap/>
            <w:vAlign w:val="bottom"/>
            <w:hideMark/>
          </w:tcPr>
          <w:p w:rsidR="00145CE2" w:rsidRPr="00145CE2" w:rsidRDefault="0067334B" w:rsidP="00145CE2">
            <w:pPr>
              <w:jc w:val="center"/>
              <w:rPr>
                <w:rFonts w:cs="Arial"/>
                <w:color w:val="000000"/>
                <w:szCs w:val="20"/>
                <w:lang w:val="en-US" w:eastAsia="en-US"/>
              </w:rPr>
            </w:pPr>
            <w:r>
              <w:rPr>
                <w:rFonts w:cs="Arial"/>
                <w:color w:val="000000"/>
                <w:szCs w:val="20"/>
                <w:lang w:val="en-US" w:eastAsia="en-US"/>
              </w:rPr>
              <w:t>-</w:t>
            </w:r>
            <w:r w:rsidR="00145CE2" w:rsidRPr="00145CE2">
              <w:rPr>
                <w:rFonts w:cs="Arial"/>
                <w:color w:val="000000"/>
                <w:szCs w:val="20"/>
                <w:lang w:val="en-US" w:eastAsia="en-US"/>
              </w:rPr>
              <w:t>19%</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-35%</w:t>
            </w:r>
          </w:p>
        </w:tc>
      </w:tr>
      <w:tr w:rsidR="00145CE2" w:rsidRPr="00145CE2" w:rsidTr="00145CE2">
        <w:trPr>
          <w:trHeight w:val="315"/>
        </w:trPr>
        <w:tc>
          <w:tcPr>
            <w:tcW w:w="0" w:type="auto"/>
            <w:tcBorders>
              <w:top w:val="nil"/>
              <w:left w:val="nil"/>
              <w:bottom w:val="single" w:sz="8" w:space="0" w:color="D8E0E3"/>
              <w:right w:val="single" w:sz="8" w:space="0" w:color="D8E0E3"/>
            </w:tcBorders>
            <w:noWrap/>
            <w:vAlign w:val="bottom"/>
            <w:hideMark/>
          </w:tcPr>
          <w:p w:rsidR="00145CE2" w:rsidRPr="00145CE2" w:rsidRDefault="00145CE2" w:rsidP="002201F7">
            <w:pPr>
              <w:jc w:val="left"/>
              <w:rPr>
                <w:rFonts w:ascii="Calibri" w:hAnsi="Calibri"/>
                <w:b/>
                <w:bCs/>
                <w:color w:val="000000"/>
                <w:szCs w:val="20"/>
                <w:lang w:eastAsia="en-US"/>
              </w:rPr>
            </w:pPr>
            <w:r w:rsidRPr="00145CE2">
              <w:rPr>
                <w:rFonts w:ascii="Calibri" w:hAnsi="Calibri"/>
                <w:b/>
                <w:bCs/>
                <w:color w:val="000000"/>
                <w:szCs w:val="20"/>
                <w:lang w:eastAsia="en-US"/>
              </w:rPr>
              <w:t xml:space="preserve">3 </w:t>
            </w:r>
            <w:proofErr w:type="spellStart"/>
            <w:r w:rsidRPr="00145CE2">
              <w:rPr>
                <w:rFonts w:ascii="Calibri" w:hAnsi="Calibri"/>
                <w:b/>
                <w:bCs/>
                <w:color w:val="000000"/>
                <w:szCs w:val="20"/>
                <w:lang w:eastAsia="en-US"/>
              </w:rPr>
              <w:t>CleanGas</w:t>
            </w:r>
            <w:proofErr w:type="spellEnd"/>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761</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US" w:eastAsia="en-US"/>
              </w:rPr>
              <w:t>595</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214</w:t>
            </w:r>
          </w:p>
        </w:tc>
        <w:tc>
          <w:tcPr>
            <w:tcW w:w="0" w:type="auto"/>
            <w:tcBorders>
              <w:top w:val="nil"/>
              <w:left w:val="nil"/>
              <w:bottom w:val="single" w:sz="8" w:space="0" w:color="D8E0E3"/>
              <w:right w:val="nil"/>
            </w:tcBorders>
            <w:noWrap/>
            <w:vAlign w:val="bottom"/>
            <w:hideMark/>
          </w:tcPr>
          <w:p w:rsidR="00145CE2" w:rsidRPr="00145CE2" w:rsidRDefault="0067334B" w:rsidP="00145CE2">
            <w:pPr>
              <w:jc w:val="center"/>
              <w:rPr>
                <w:rFonts w:cs="Arial"/>
                <w:color w:val="000000"/>
                <w:szCs w:val="20"/>
                <w:lang w:val="en-US" w:eastAsia="en-US"/>
              </w:rPr>
            </w:pPr>
            <w:r>
              <w:rPr>
                <w:rFonts w:cs="Arial"/>
                <w:color w:val="000000"/>
                <w:szCs w:val="20"/>
                <w:lang w:val="en-US" w:eastAsia="en-US"/>
              </w:rPr>
              <w:t>-</w:t>
            </w:r>
            <w:r w:rsidR="00145CE2" w:rsidRPr="00145CE2">
              <w:rPr>
                <w:rFonts w:cs="Arial"/>
                <w:color w:val="000000"/>
                <w:szCs w:val="20"/>
                <w:lang w:val="en-US" w:eastAsia="en-US"/>
              </w:rPr>
              <w:t>22%</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-72%</w:t>
            </w:r>
          </w:p>
        </w:tc>
      </w:tr>
      <w:tr w:rsidR="00145CE2" w:rsidRPr="00145CE2" w:rsidTr="00145CE2">
        <w:trPr>
          <w:trHeight w:val="315"/>
        </w:trPr>
        <w:tc>
          <w:tcPr>
            <w:tcW w:w="0" w:type="auto"/>
            <w:tcBorders>
              <w:top w:val="nil"/>
              <w:left w:val="nil"/>
              <w:bottom w:val="single" w:sz="8" w:space="0" w:color="D8E0E3"/>
              <w:right w:val="single" w:sz="8" w:space="0" w:color="D8E0E3"/>
            </w:tcBorders>
            <w:noWrap/>
            <w:vAlign w:val="bottom"/>
            <w:hideMark/>
          </w:tcPr>
          <w:p w:rsidR="00145CE2" w:rsidRPr="00145CE2" w:rsidRDefault="002201F7" w:rsidP="00145CE2">
            <w:pPr>
              <w:jc w:val="left"/>
              <w:rPr>
                <w:rFonts w:ascii="Calibri" w:hAnsi="Calibri"/>
                <w:b/>
                <w:bCs/>
                <w:color w:val="000000"/>
                <w:szCs w:val="20"/>
                <w:lang w:eastAsia="en-US"/>
              </w:rPr>
            </w:pPr>
            <w:r>
              <w:rPr>
                <w:rFonts w:ascii="Calibri" w:hAnsi="Calibri"/>
                <w:b/>
                <w:bCs/>
                <w:color w:val="000000"/>
                <w:szCs w:val="20"/>
                <w:lang w:eastAsia="en-US"/>
              </w:rPr>
              <w:t>4</w:t>
            </w:r>
            <w:r w:rsidR="00145CE2" w:rsidRPr="00145CE2">
              <w:rPr>
                <w:rFonts w:ascii="Calibri" w:hAnsi="Calibri"/>
                <w:b/>
                <w:bCs/>
                <w:color w:val="000000"/>
                <w:szCs w:val="20"/>
                <w:lang w:eastAsia="en-US"/>
              </w:rPr>
              <w:t xml:space="preserve"> Bio/Kreislauf</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761</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US" w:eastAsia="en-US"/>
              </w:rPr>
              <w:t>490</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246</w:t>
            </w:r>
          </w:p>
        </w:tc>
        <w:tc>
          <w:tcPr>
            <w:tcW w:w="0" w:type="auto"/>
            <w:tcBorders>
              <w:top w:val="nil"/>
              <w:left w:val="nil"/>
              <w:bottom w:val="single" w:sz="8" w:space="0" w:color="D8E0E3"/>
              <w:right w:val="nil"/>
            </w:tcBorders>
            <w:noWrap/>
            <w:vAlign w:val="bottom"/>
            <w:hideMark/>
          </w:tcPr>
          <w:p w:rsidR="00145CE2" w:rsidRPr="00145CE2" w:rsidRDefault="0067334B" w:rsidP="00145CE2">
            <w:pPr>
              <w:jc w:val="center"/>
              <w:rPr>
                <w:rFonts w:cs="Arial"/>
                <w:color w:val="000000"/>
                <w:szCs w:val="20"/>
                <w:lang w:val="en-US" w:eastAsia="en-US"/>
              </w:rPr>
            </w:pPr>
            <w:r>
              <w:rPr>
                <w:rFonts w:cs="Arial"/>
                <w:color w:val="000000"/>
                <w:szCs w:val="20"/>
                <w:lang w:val="en-US" w:eastAsia="en-US"/>
              </w:rPr>
              <w:t>-</w:t>
            </w:r>
            <w:r w:rsidR="00145CE2" w:rsidRPr="00145CE2">
              <w:rPr>
                <w:rFonts w:cs="Arial"/>
                <w:color w:val="000000"/>
                <w:szCs w:val="20"/>
                <w:lang w:val="en-US" w:eastAsia="en-US"/>
              </w:rPr>
              <w:t>36%</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-68%</w:t>
            </w:r>
          </w:p>
        </w:tc>
      </w:tr>
      <w:tr w:rsidR="00145CE2" w:rsidRPr="00145CE2" w:rsidTr="00145CE2">
        <w:trPr>
          <w:trHeight w:val="315"/>
        </w:trPr>
        <w:tc>
          <w:tcPr>
            <w:tcW w:w="0" w:type="auto"/>
            <w:tcBorders>
              <w:top w:val="nil"/>
              <w:left w:val="nil"/>
              <w:bottom w:val="single" w:sz="8" w:space="0" w:color="D8E0E3"/>
              <w:right w:val="single" w:sz="8" w:space="0" w:color="D8E0E3"/>
            </w:tcBorders>
            <w:noWrap/>
            <w:vAlign w:val="bottom"/>
            <w:hideMark/>
          </w:tcPr>
          <w:p w:rsidR="00145CE2" w:rsidRPr="00145CE2" w:rsidRDefault="002201F7" w:rsidP="00145CE2">
            <w:pPr>
              <w:jc w:val="left"/>
              <w:rPr>
                <w:rFonts w:ascii="Calibri" w:hAnsi="Calibri"/>
                <w:b/>
                <w:bCs/>
                <w:color w:val="000000"/>
                <w:szCs w:val="20"/>
                <w:lang w:eastAsia="en-US"/>
              </w:rPr>
            </w:pPr>
            <w:r>
              <w:rPr>
                <w:rFonts w:ascii="Calibri" w:hAnsi="Calibri"/>
                <w:b/>
                <w:bCs/>
                <w:color w:val="000000"/>
                <w:szCs w:val="20"/>
                <w:lang w:eastAsia="en-US"/>
              </w:rPr>
              <w:t>5</w:t>
            </w:r>
            <w:r w:rsidR="00800A21">
              <w:rPr>
                <w:rFonts w:ascii="Calibri" w:hAnsi="Calibri"/>
                <w:b/>
                <w:bCs/>
                <w:color w:val="000000"/>
                <w:szCs w:val="20"/>
                <w:lang w:eastAsia="en-US"/>
              </w:rPr>
              <w:t xml:space="preserve"> Elektr</w:t>
            </w:r>
            <w:r w:rsidR="00145CE2" w:rsidRPr="00145CE2">
              <w:rPr>
                <w:rFonts w:ascii="Calibri" w:hAnsi="Calibri"/>
                <w:b/>
                <w:bCs/>
                <w:color w:val="000000"/>
                <w:szCs w:val="20"/>
                <w:lang w:eastAsia="en-US"/>
              </w:rPr>
              <w:t>isch</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761</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US" w:eastAsia="en-US"/>
              </w:rPr>
              <w:t>560</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252</w:t>
            </w:r>
          </w:p>
        </w:tc>
        <w:tc>
          <w:tcPr>
            <w:tcW w:w="0" w:type="auto"/>
            <w:tcBorders>
              <w:top w:val="nil"/>
              <w:left w:val="nil"/>
              <w:bottom w:val="single" w:sz="8" w:space="0" w:color="D8E0E3"/>
              <w:right w:val="nil"/>
            </w:tcBorders>
            <w:noWrap/>
            <w:vAlign w:val="bottom"/>
            <w:hideMark/>
          </w:tcPr>
          <w:p w:rsidR="00145CE2" w:rsidRPr="00145CE2" w:rsidRDefault="0067334B" w:rsidP="00145CE2">
            <w:pPr>
              <w:jc w:val="center"/>
              <w:rPr>
                <w:rFonts w:cs="Arial"/>
                <w:color w:val="000000"/>
                <w:szCs w:val="20"/>
                <w:lang w:val="en-US" w:eastAsia="en-US"/>
              </w:rPr>
            </w:pPr>
            <w:r>
              <w:rPr>
                <w:rFonts w:cs="Arial"/>
                <w:color w:val="000000"/>
                <w:szCs w:val="20"/>
                <w:lang w:val="en-US" w:eastAsia="en-US"/>
              </w:rPr>
              <w:t>-</w:t>
            </w:r>
            <w:r w:rsidR="00145CE2" w:rsidRPr="00145CE2">
              <w:rPr>
                <w:rFonts w:cs="Arial"/>
                <w:color w:val="000000"/>
                <w:szCs w:val="20"/>
                <w:lang w:val="en-US" w:eastAsia="en-US"/>
              </w:rPr>
              <w:t>26%</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-67%</w:t>
            </w:r>
          </w:p>
        </w:tc>
      </w:tr>
      <w:tr w:rsidR="00145CE2" w:rsidRPr="00145CE2" w:rsidTr="00145CE2">
        <w:trPr>
          <w:trHeight w:val="315"/>
        </w:trPr>
        <w:tc>
          <w:tcPr>
            <w:tcW w:w="0" w:type="auto"/>
            <w:tcBorders>
              <w:top w:val="nil"/>
              <w:left w:val="nil"/>
              <w:bottom w:val="single" w:sz="8" w:space="0" w:color="D8E0E3"/>
              <w:right w:val="single" w:sz="8" w:space="0" w:color="D8E0E3"/>
            </w:tcBorders>
            <w:noWrap/>
            <w:vAlign w:val="bottom"/>
            <w:hideMark/>
          </w:tcPr>
          <w:p w:rsidR="00145CE2" w:rsidRPr="00145CE2" w:rsidRDefault="002201F7" w:rsidP="002201F7">
            <w:pPr>
              <w:jc w:val="left"/>
              <w:rPr>
                <w:rFonts w:ascii="Calibri" w:hAnsi="Calibri"/>
                <w:b/>
                <w:bCs/>
                <w:color w:val="000000"/>
                <w:szCs w:val="20"/>
                <w:lang w:eastAsia="en-US"/>
              </w:rPr>
            </w:pPr>
            <w:r>
              <w:rPr>
                <w:rFonts w:ascii="Calibri" w:hAnsi="Calibri"/>
                <w:b/>
                <w:bCs/>
                <w:color w:val="000000"/>
                <w:szCs w:val="20"/>
                <w:lang w:eastAsia="en-US"/>
              </w:rPr>
              <w:t>6 Maßnahmenmix</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761</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US" w:eastAsia="en-US"/>
              </w:rPr>
              <w:t>500</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61</w:t>
            </w:r>
          </w:p>
        </w:tc>
        <w:tc>
          <w:tcPr>
            <w:tcW w:w="0" w:type="auto"/>
            <w:tcBorders>
              <w:top w:val="nil"/>
              <w:left w:val="nil"/>
              <w:bottom w:val="single" w:sz="8" w:space="0" w:color="D8E0E3"/>
              <w:right w:val="nil"/>
            </w:tcBorders>
            <w:noWrap/>
            <w:vAlign w:val="bottom"/>
            <w:hideMark/>
          </w:tcPr>
          <w:p w:rsidR="00145CE2" w:rsidRPr="00145CE2" w:rsidRDefault="0067334B" w:rsidP="00145CE2">
            <w:pPr>
              <w:jc w:val="center"/>
              <w:rPr>
                <w:rFonts w:cs="Arial"/>
                <w:color w:val="000000"/>
                <w:szCs w:val="20"/>
                <w:lang w:val="en-US" w:eastAsia="en-US"/>
              </w:rPr>
            </w:pPr>
            <w:r>
              <w:rPr>
                <w:rFonts w:cs="Arial"/>
                <w:color w:val="000000"/>
                <w:szCs w:val="20"/>
                <w:lang w:val="en-US" w:eastAsia="en-US"/>
              </w:rPr>
              <w:t>-</w:t>
            </w:r>
            <w:r w:rsidR="00145CE2" w:rsidRPr="00145CE2">
              <w:rPr>
                <w:rFonts w:cs="Arial"/>
                <w:color w:val="000000"/>
                <w:szCs w:val="20"/>
                <w:lang w:val="en-US" w:eastAsia="en-US"/>
              </w:rPr>
              <w:t>34%</w:t>
            </w:r>
          </w:p>
        </w:tc>
        <w:tc>
          <w:tcPr>
            <w:tcW w:w="0" w:type="auto"/>
            <w:tcBorders>
              <w:top w:val="nil"/>
              <w:left w:val="nil"/>
              <w:bottom w:val="single" w:sz="8" w:space="0" w:color="D8E0E3"/>
              <w:right w:val="single" w:sz="8" w:space="0" w:color="D8E0E3"/>
            </w:tcBorders>
            <w:noWrap/>
            <w:vAlign w:val="bottom"/>
            <w:hideMark/>
          </w:tcPr>
          <w:p w:rsidR="00145CE2" w:rsidRPr="00145CE2" w:rsidRDefault="00145CE2" w:rsidP="00145CE2">
            <w:pPr>
              <w:jc w:val="center"/>
              <w:rPr>
                <w:rFonts w:cs="Arial"/>
                <w:color w:val="000000"/>
                <w:szCs w:val="20"/>
                <w:lang w:val="en-US" w:eastAsia="en-US"/>
              </w:rPr>
            </w:pPr>
            <w:r w:rsidRPr="00145CE2">
              <w:rPr>
                <w:rFonts w:cs="Arial"/>
                <w:color w:val="000000"/>
                <w:szCs w:val="20"/>
                <w:lang w:val="en-GB" w:eastAsia="en-GB"/>
              </w:rPr>
              <w:t>-92%</w:t>
            </w:r>
          </w:p>
        </w:tc>
      </w:tr>
    </w:tbl>
    <w:p w:rsidR="00BF1C5E" w:rsidRPr="00803917" w:rsidRDefault="00BF1C5E" w:rsidP="00227125"/>
    <w:p w:rsidR="00010E92" w:rsidRPr="00227125" w:rsidRDefault="005E4D4F" w:rsidP="00EA065F">
      <w:pPr>
        <w:pStyle w:val="Ueberschrift"/>
      </w:pPr>
      <w:bookmarkStart w:id="1" w:name="_Toc26086066"/>
      <w:bookmarkStart w:id="2" w:name="_Toc68418491"/>
      <w:r w:rsidRPr="005E4D4F">
        <w:t>Literatur</w:t>
      </w:r>
      <w:bookmarkEnd w:id="1"/>
      <w:bookmarkEnd w:id="2"/>
    </w:p>
    <w:p w:rsidR="00EA065F" w:rsidRPr="00EA065F" w:rsidRDefault="00EA065F" w:rsidP="00EA065F">
      <w:pPr>
        <w:pStyle w:val="Literatur"/>
      </w:pPr>
      <w:r w:rsidRPr="00EA065F">
        <w:t xml:space="preserve">Fraunhofer ISI, 2018. FORECAST </w:t>
      </w:r>
      <w:proofErr w:type="spellStart"/>
      <w:r w:rsidRPr="00EA065F">
        <w:t>homepage</w:t>
      </w:r>
      <w:proofErr w:type="spellEnd"/>
      <w:r w:rsidRPr="00EA065F">
        <w:t xml:space="preserve">. http://www.forecast-model.eu/forecast-en/content/methodology.php. </w:t>
      </w:r>
      <w:proofErr w:type="spellStart"/>
      <w:r w:rsidRPr="00EA065F">
        <w:t>Accessed</w:t>
      </w:r>
      <w:proofErr w:type="spellEnd"/>
      <w:r w:rsidRPr="00EA065F">
        <w:t xml:space="preserve"> September 14, 2018.</w:t>
      </w:r>
    </w:p>
    <w:p w:rsidR="00EA065F" w:rsidRPr="00EA065F" w:rsidRDefault="00EA065F" w:rsidP="00EA065F">
      <w:pPr>
        <w:pStyle w:val="Literatur"/>
      </w:pPr>
      <w:proofErr w:type="spellStart"/>
      <w:r w:rsidRPr="00EA065F">
        <w:t>Hybrit</w:t>
      </w:r>
      <w:proofErr w:type="spellEnd"/>
      <w:r w:rsidRPr="00EA065F">
        <w:t xml:space="preserve"> Development AB, SSAB, LKAB, Vattenfall, 2018. HYBRIT. Fossil-Free Steel.</w:t>
      </w:r>
    </w:p>
    <w:p w:rsidR="00EA065F" w:rsidRDefault="00EA065F" w:rsidP="00EA065F">
      <w:pPr>
        <w:pStyle w:val="Literatur"/>
      </w:pPr>
      <w:r w:rsidRPr="00EA065F">
        <w:t xml:space="preserve">IPCC. Global </w:t>
      </w:r>
      <w:proofErr w:type="spellStart"/>
      <w:r w:rsidRPr="00EA065F">
        <w:t>Warming</w:t>
      </w:r>
      <w:proofErr w:type="spellEnd"/>
      <w:r w:rsidRPr="00EA065F">
        <w:t xml:space="preserve"> of 1.5°C. an IPCC </w:t>
      </w:r>
      <w:proofErr w:type="spellStart"/>
      <w:r w:rsidRPr="00EA065F">
        <w:t>special</w:t>
      </w:r>
      <w:proofErr w:type="spellEnd"/>
      <w:r w:rsidRPr="00EA065F">
        <w:t xml:space="preserve"> </w:t>
      </w:r>
      <w:proofErr w:type="spellStart"/>
      <w:r w:rsidRPr="00EA065F">
        <w:t>report</w:t>
      </w:r>
      <w:proofErr w:type="spellEnd"/>
      <w:r w:rsidRPr="00EA065F">
        <w:t xml:space="preserve"> on the </w:t>
      </w:r>
      <w:proofErr w:type="spellStart"/>
      <w:r w:rsidRPr="00EA065F">
        <w:t>impacts</w:t>
      </w:r>
      <w:proofErr w:type="spellEnd"/>
      <w:r w:rsidRPr="00EA065F">
        <w:t xml:space="preserve"> of global </w:t>
      </w:r>
      <w:proofErr w:type="spellStart"/>
      <w:r w:rsidRPr="00EA065F">
        <w:t>warming</w:t>
      </w:r>
      <w:proofErr w:type="spellEnd"/>
      <w:r w:rsidRPr="00EA065F">
        <w:t xml:space="preserve"> of 1.5 °C </w:t>
      </w:r>
      <w:proofErr w:type="spellStart"/>
      <w:r w:rsidRPr="00EA065F">
        <w:t>above</w:t>
      </w:r>
      <w:proofErr w:type="spellEnd"/>
      <w:r w:rsidRPr="00EA065F">
        <w:t xml:space="preserve"> </w:t>
      </w:r>
      <w:proofErr w:type="spellStart"/>
      <w:r w:rsidRPr="00EA065F">
        <w:t>pre-industrial</w:t>
      </w:r>
      <w:proofErr w:type="spellEnd"/>
      <w:r w:rsidRPr="00EA065F">
        <w:t xml:space="preserve"> </w:t>
      </w:r>
      <w:proofErr w:type="spellStart"/>
      <w:r w:rsidRPr="00EA065F">
        <w:t>levels</w:t>
      </w:r>
      <w:proofErr w:type="spellEnd"/>
      <w:r w:rsidRPr="00EA065F">
        <w:t xml:space="preserve"> </w:t>
      </w:r>
      <w:proofErr w:type="spellStart"/>
      <w:r w:rsidRPr="00EA065F">
        <w:t>and</w:t>
      </w:r>
      <w:proofErr w:type="spellEnd"/>
      <w:r w:rsidRPr="00EA065F">
        <w:t xml:space="preserve"> </w:t>
      </w:r>
      <w:proofErr w:type="spellStart"/>
      <w:r w:rsidRPr="00EA065F">
        <w:t>related</w:t>
      </w:r>
      <w:proofErr w:type="spellEnd"/>
      <w:r w:rsidRPr="00EA065F">
        <w:t xml:space="preserve"> global </w:t>
      </w:r>
      <w:proofErr w:type="spellStart"/>
      <w:r w:rsidRPr="00EA065F">
        <w:t>greenhouse</w:t>
      </w:r>
      <w:proofErr w:type="spellEnd"/>
      <w:r w:rsidRPr="00EA065F">
        <w:t xml:space="preserve"> gas </w:t>
      </w:r>
      <w:proofErr w:type="spellStart"/>
      <w:r w:rsidRPr="00EA065F">
        <w:t>emission</w:t>
      </w:r>
      <w:proofErr w:type="spellEnd"/>
      <w:r w:rsidRPr="00EA065F">
        <w:t xml:space="preserve"> </w:t>
      </w:r>
      <w:proofErr w:type="spellStart"/>
      <w:r w:rsidRPr="00EA065F">
        <w:t>pathways</w:t>
      </w:r>
      <w:proofErr w:type="spellEnd"/>
      <w:r w:rsidRPr="00EA065F">
        <w:t xml:space="preserve">, in the </w:t>
      </w:r>
      <w:proofErr w:type="spellStart"/>
      <w:r w:rsidRPr="00EA065F">
        <w:t>context</w:t>
      </w:r>
      <w:proofErr w:type="spellEnd"/>
      <w:r w:rsidRPr="00EA065F">
        <w:t xml:space="preserve"> of </w:t>
      </w:r>
      <w:proofErr w:type="spellStart"/>
      <w:r w:rsidRPr="00EA065F">
        <w:t>strengthening</w:t>
      </w:r>
      <w:proofErr w:type="spellEnd"/>
      <w:r w:rsidRPr="00EA065F">
        <w:t xml:space="preserve"> the global </w:t>
      </w:r>
      <w:proofErr w:type="spellStart"/>
      <w:r w:rsidRPr="00EA065F">
        <w:t>response</w:t>
      </w:r>
      <w:proofErr w:type="spellEnd"/>
      <w:r w:rsidRPr="00EA065F">
        <w:t xml:space="preserve"> </w:t>
      </w:r>
      <w:proofErr w:type="spellStart"/>
      <w:r w:rsidRPr="00EA065F">
        <w:t>to</w:t>
      </w:r>
      <w:proofErr w:type="spellEnd"/>
      <w:r w:rsidRPr="00EA065F">
        <w:t xml:space="preserve"> the </w:t>
      </w:r>
      <w:proofErr w:type="spellStart"/>
      <w:r w:rsidRPr="00EA065F">
        <w:t>threat</w:t>
      </w:r>
      <w:proofErr w:type="spellEnd"/>
      <w:r w:rsidRPr="00EA065F">
        <w:t xml:space="preserve"> of </w:t>
      </w:r>
      <w:proofErr w:type="spellStart"/>
      <w:r w:rsidRPr="00EA065F">
        <w:t>climate</w:t>
      </w:r>
      <w:proofErr w:type="spellEnd"/>
      <w:r w:rsidRPr="00EA065F">
        <w:t xml:space="preserve"> </w:t>
      </w:r>
      <w:proofErr w:type="spellStart"/>
      <w:r w:rsidRPr="00EA065F">
        <w:t>change</w:t>
      </w:r>
      <w:proofErr w:type="spellEnd"/>
      <w:r w:rsidRPr="00EA065F">
        <w:t xml:space="preserve">, </w:t>
      </w:r>
      <w:proofErr w:type="spellStart"/>
      <w:r w:rsidRPr="00EA065F">
        <w:t>sustainable</w:t>
      </w:r>
      <w:proofErr w:type="spellEnd"/>
      <w:r w:rsidRPr="00EA065F">
        <w:t xml:space="preserve"> </w:t>
      </w:r>
      <w:proofErr w:type="spellStart"/>
      <w:r w:rsidRPr="00EA065F">
        <w:t>development</w:t>
      </w:r>
      <w:proofErr w:type="spellEnd"/>
      <w:r w:rsidRPr="00EA065F">
        <w:t xml:space="preserve">, </w:t>
      </w:r>
      <w:proofErr w:type="spellStart"/>
      <w:r w:rsidRPr="00EA065F">
        <w:t>and</w:t>
      </w:r>
      <w:proofErr w:type="spellEnd"/>
      <w:r w:rsidRPr="00EA065F">
        <w:t xml:space="preserve"> </w:t>
      </w:r>
      <w:proofErr w:type="spellStart"/>
      <w:r w:rsidRPr="00EA065F">
        <w:t>efforts</w:t>
      </w:r>
      <w:proofErr w:type="spellEnd"/>
      <w:r w:rsidRPr="00EA065F">
        <w:t xml:space="preserve"> </w:t>
      </w:r>
      <w:proofErr w:type="spellStart"/>
      <w:r w:rsidRPr="00EA065F">
        <w:t>to</w:t>
      </w:r>
      <w:proofErr w:type="spellEnd"/>
      <w:r w:rsidRPr="00EA065F">
        <w:t xml:space="preserve"> </w:t>
      </w:r>
      <w:proofErr w:type="spellStart"/>
      <w:r w:rsidRPr="00EA065F">
        <w:t>eradicate</w:t>
      </w:r>
      <w:proofErr w:type="spellEnd"/>
      <w:r w:rsidRPr="00EA065F">
        <w:t xml:space="preserve"> </w:t>
      </w:r>
      <w:proofErr w:type="spellStart"/>
      <w:r w:rsidRPr="00EA065F">
        <w:t>poverty</w:t>
      </w:r>
      <w:proofErr w:type="spellEnd"/>
      <w:r w:rsidRPr="00EA065F">
        <w:t xml:space="preserve">. http://www.ipcc.ch/report/sr15/. </w:t>
      </w:r>
      <w:proofErr w:type="spellStart"/>
      <w:r>
        <w:t>Accessed</w:t>
      </w:r>
      <w:proofErr w:type="spellEnd"/>
      <w:r>
        <w:t xml:space="preserve"> </w:t>
      </w:r>
      <w:proofErr w:type="spellStart"/>
      <w:r>
        <w:t>October</w:t>
      </w:r>
      <w:proofErr w:type="spellEnd"/>
      <w:r>
        <w:t xml:space="preserve"> 22, 2018.</w:t>
      </w:r>
    </w:p>
    <w:p w:rsidR="005E4D4F" w:rsidRDefault="00EA065F" w:rsidP="00EA065F">
      <w:pPr>
        <w:pStyle w:val="Literatur"/>
      </w:pPr>
      <w:proofErr w:type="spellStart"/>
      <w:r>
        <w:t>Lechtenböhmer</w:t>
      </w:r>
      <w:proofErr w:type="spellEnd"/>
      <w:r>
        <w:t xml:space="preserve">, S., Nilsson, L.J., </w:t>
      </w:r>
      <w:proofErr w:type="spellStart"/>
      <w:r>
        <w:t>Åhman</w:t>
      </w:r>
      <w:proofErr w:type="spellEnd"/>
      <w:r>
        <w:t xml:space="preserve">, M., Schneider, C., 2016. </w:t>
      </w:r>
      <w:proofErr w:type="spellStart"/>
      <w:r w:rsidRPr="00EA065F">
        <w:t>Decarbonising</w:t>
      </w:r>
      <w:proofErr w:type="spellEnd"/>
      <w:r w:rsidRPr="00EA065F">
        <w:t xml:space="preserve"> the </w:t>
      </w:r>
      <w:proofErr w:type="spellStart"/>
      <w:r w:rsidRPr="00EA065F">
        <w:t>energy</w:t>
      </w:r>
      <w:proofErr w:type="spellEnd"/>
      <w:r w:rsidRPr="00EA065F">
        <w:t xml:space="preserve"> intensive </w:t>
      </w:r>
      <w:proofErr w:type="spellStart"/>
      <w:r w:rsidRPr="00EA065F">
        <w:t>basic</w:t>
      </w:r>
      <w:proofErr w:type="spellEnd"/>
      <w:r w:rsidRPr="00EA065F">
        <w:t xml:space="preserve"> </w:t>
      </w:r>
      <w:proofErr w:type="spellStart"/>
      <w:r w:rsidRPr="00EA065F">
        <w:t>materials</w:t>
      </w:r>
      <w:proofErr w:type="spellEnd"/>
      <w:r w:rsidRPr="00EA065F">
        <w:t xml:space="preserve"> </w:t>
      </w:r>
      <w:proofErr w:type="spellStart"/>
      <w:r w:rsidRPr="00EA065F">
        <w:t>industry</w:t>
      </w:r>
      <w:proofErr w:type="spellEnd"/>
      <w:r w:rsidRPr="00EA065F">
        <w:t xml:space="preserve"> </w:t>
      </w:r>
      <w:proofErr w:type="spellStart"/>
      <w:r w:rsidRPr="00EA065F">
        <w:t>through</w:t>
      </w:r>
      <w:proofErr w:type="spellEnd"/>
      <w:r w:rsidRPr="00EA065F">
        <w:t xml:space="preserve"> </w:t>
      </w:r>
      <w:proofErr w:type="spellStart"/>
      <w:r w:rsidRPr="00EA065F">
        <w:t>electrification</w:t>
      </w:r>
      <w:proofErr w:type="spellEnd"/>
      <w:r w:rsidRPr="00EA065F">
        <w:t xml:space="preserve"> – </w:t>
      </w:r>
      <w:proofErr w:type="spellStart"/>
      <w:r w:rsidRPr="00EA065F">
        <w:t>Implications</w:t>
      </w:r>
      <w:proofErr w:type="spellEnd"/>
      <w:r w:rsidRPr="00EA065F">
        <w:t xml:space="preserve"> </w:t>
      </w:r>
      <w:proofErr w:type="spellStart"/>
      <w:r w:rsidRPr="00EA065F">
        <w:t>for</w:t>
      </w:r>
      <w:proofErr w:type="spellEnd"/>
      <w:r w:rsidRPr="00EA065F">
        <w:t xml:space="preserve"> </w:t>
      </w:r>
      <w:proofErr w:type="spellStart"/>
      <w:r w:rsidRPr="00EA065F">
        <w:t>future</w:t>
      </w:r>
      <w:proofErr w:type="spellEnd"/>
      <w:r w:rsidRPr="00EA065F">
        <w:t xml:space="preserve"> EU </w:t>
      </w:r>
      <w:proofErr w:type="spellStart"/>
      <w:r w:rsidRPr="00EA065F">
        <w:t>electricity</w:t>
      </w:r>
      <w:proofErr w:type="spellEnd"/>
      <w:r w:rsidRPr="00EA065F">
        <w:t xml:space="preserve"> </w:t>
      </w:r>
      <w:proofErr w:type="spellStart"/>
      <w:r w:rsidRPr="00EA065F">
        <w:t>demand</w:t>
      </w:r>
      <w:proofErr w:type="spellEnd"/>
      <w:r w:rsidRPr="00EA065F">
        <w:t xml:space="preserve">. </w:t>
      </w:r>
      <w:r>
        <w:t>Energy 115, 1623–1631.</w:t>
      </w: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E7D" w:rsidRDefault="00140E7D">
      <w:r>
        <w:separator/>
      </w:r>
    </w:p>
  </w:endnote>
  <w:endnote w:type="continuationSeparator" w:id="0">
    <w:p w:rsidR="00140E7D" w:rsidRDefault="0014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E7D" w:rsidRDefault="00140E7D">
      <w:r>
        <w:separator/>
      </w:r>
    </w:p>
  </w:footnote>
  <w:footnote w:type="continuationSeparator" w:id="0">
    <w:p w:rsidR="00140E7D" w:rsidRDefault="00140E7D">
      <w:r>
        <w:continuationSeparator/>
      </w:r>
    </w:p>
  </w:footnote>
  <w:footnote w:id="1">
    <w:p w:rsidR="00000000" w:rsidRDefault="00D53E86" w:rsidP="002014D3">
      <w:r w:rsidRPr="00A115D2">
        <w:rPr>
          <w:rStyle w:val="Funotenzeichen"/>
        </w:rPr>
        <w:footnoteRef/>
      </w:r>
      <w:r w:rsidRPr="00D53E86">
        <w:t xml:space="preserve"> </w:t>
      </w:r>
      <w:r w:rsidR="00FC14AB">
        <w:t>Breslauer Straße 48, 76139 Karlsruhe</w:t>
      </w:r>
      <w:r w:rsidR="00E520E6">
        <w:t xml:space="preserve">, </w:t>
      </w:r>
      <w:r w:rsidR="00FC14AB">
        <w:t>+49 721 6809-412</w:t>
      </w:r>
      <w:r w:rsidR="00A6148D">
        <w:t>,</w:t>
      </w:r>
      <w:r w:rsidR="00FD5D56">
        <w:t xml:space="preserve"> </w:t>
      </w:r>
      <w:r w:rsidR="00FC14AB">
        <w:t>matthias.rehfeldt@isi.fraunhofer.de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05C05"/>
    <w:multiLevelType w:val="hybridMultilevel"/>
    <w:tmpl w:val="694058D8"/>
    <w:lvl w:ilvl="0" w:tplc="CA5EEE7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020A35"/>
    <w:rsid w:val="000A6C16"/>
    <w:rsid w:val="00140E7D"/>
    <w:rsid w:val="00145CE2"/>
    <w:rsid w:val="00181691"/>
    <w:rsid w:val="001A1F3D"/>
    <w:rsid w:val="002014D3"/>
    <w:rsid w:val="002201F7"/>
    <w:rsid w:val="00227125"/>
    <w:rsid w:val="00262FD5"/>
    <w:rsid w:val="002717B7"/>
    <w:rsid w:val="00280CBA"/>
    <w:rsid w:val="002946B8"/>
    <w:rsid w:val="002E5A29"/>
    <w:rsid w:val="00350F98"/>
    <w:rsid w:val="003817EA"/>
    <w:rsid w:val="003B676F"/>
    <w:rsid w:val="003C28FE"/>
    <w:rsid w:val="004807E9"/>
    <w:rsid w:val="00483B87"/>
    <w:rsid w:val="004C44BA"/>
    <w:rsid w:val="005636CF"/>
    <w:rsid w:val="005B1ADB"/>
    <w:rsid w:val="005E4D4F"/>
    <w:rsid w:val="00614CB6"/>
    <w:rsid w:val="0061788E"/>
    <w:rsid w:val="0067334B"/>
    <w:rsid w:val="006C3F35"/>
    <w:rsid w:val="007378C8"/>
    <w:rsid w:val="00741EC0"/>
    <w:rsid w:val="007B0E07"/>
    <w:rsid w:val="00800A21"/>
    <w:rsid w:val="00803917"/>
    <w:rsid w:val="008A57D2"/>
    <w:rsid w:val="009D5F7E"/>
    <w:rsid w:val="00A07737"/>
    <w:rsid w:val="00A115D2"/>
    <w:rsid w:val="00A156E4"/>
    <w:rsid w:val="00A32845"/>
    <w:rsid w:val="00A35295"/>
    <w:rsid w:val="00A6148D"/>
    <w:rsid w:val="00A73876"/>
    <w:rsid w:val="00BF05FA"/>
    <w:rsid w:val="00BF1C5E"/>
    <w:rsid w:val="00CE1A70"/>
    <w:rsid w:val="00D53E86"/>
    <w:rsid w:val="00D736F8"/>
    <w:rsid w:val="00E26529"/>
    <w:rsid w:val="00E520E6"/>
    <w:rsid w:val="00EA065F"/>
    <w:rsid w:val="00FB69AE"/>
    <w:rsid w:val="00FC14AB"/>
    <w:rsid w:val="00FD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26779"/>
  <w14:defaultImageDpi w14:val="0"/>
  <w15:docId w15:val="{1908542F-9303-4A89-AB16-46526266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uiPriority w:val="1"/>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basedOn w:val="Absatz-Standardschriftart"/>
    <w:uiPriority w:val="99"/>
    <w:semiHidden/>
    <w:rsid w:val="005E4D4F"/>
    <w:rPr>
      <w:vertAlign w:val="superscript"/>
    </w:rPr>
  </w:style>
  <w:style w:type="paragraph" w:styleId="Titel">
    <w:name w:val="Title"/>
    <w:basedOn w:val="Standard"/>
    <w:link w:val="TitelZchn"/>
    <w:uiPriority w:val="10"/>
    <w:qFormat/>
    <w:rsid w:val="005E4D4F"/>
    <w:pPr>
      <w:pageBreakBefore/>
      <w:spacing w:before="120" w:after="120"/>
      <w:jc w:val="center"/>
    </w:pPr>
    <w:rPr>
      <w:b/>
      <w:kern w:val="28"/>
      <w:sz w:val="32"/>
      <w:szCs w:val="20"/>
      <w:lang w:eastAsia="en-US"/>
    </w:rPr>
  </w:style>
  <w:style w:type="character" w:customStyle="1" w:styleId="TitelZchn">
    <w:name w:val="Titel Zchn"/>
    <w:basedOn w:val="Absatz-Standardschriftart"/>
    <w:link w:val="Titel"/>
    <w:uiPriority w:val="10"/>
    <w:locked/>
    <w:rsid w:val="005E4D4F"/>
    <w:rPr>
      <w:rFonts w:ascii="Arial" w:hAnsi="Arial"/>
      <w:b/>
      <w:snapToGrid w:val="0"/>
      <w:kern w:val="28"/>
      <w:sz w:val="32"/>
      <w:lang w:val="de-DE" w:eastAsia="en-US"/>
    </w:rPr>
  </w:style>
  <w:style w:type="paragraph" w:customStyle="1" w:styleId="Abbildungsbeschriftung">
    <w:name w:val="Abbildungsbeschriftung"/>
    <w:basedOn w:val="Standard"/>
    <w:rsid w:val="002946B8"/>
    <w:rPr>
      <w:i/>
      <w:iCs/>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locked/>
    <w:rsid w:val="00A07737"/>
    <w:rPr>
      <w:rFonts w:ascii="Arial" w:hAnsi="Arial"/>
      <w:b/>
      <w:spacing w:val="-5"/>
      <w:sz w:val="24"/>
      <w:lang w:val="de-DE" w:eastAsia="de-DE"/>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numbering" w:customStyle="1" w:styleId="Aufzhlung">
    <w:name w:val="Aufzählung"/>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407902">
      <w:marLeft w:val="0"/>
      <w:marRight w:val="0"/>
      <w:marTop w:val="0"/>
      <w:marBottom w:val="0"/>
      <w:divBdr>
        <w:top w:val="none" w:sz="0" w:space="0" w:color="auto"/>
        <w:left w:val="none" w:sz="0" w:space="0" w:color="auto"/>
        <w:bottom w:val="none" w:sz="0" w:space="0" w:color="auto"/>
        <w:right w:val="none" w:sz="0" w:space="0" w:color="auto"/>
      </w:divBdr>
    </w:div>
    <w:div w:id="1723407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4809</Characters>
  <Application>Microsoft Office Word</Application>
  <DocSecurity>0</DocSecurity>
  <Lines>40</Lines>
  <Paragraphs>11</Paragraphs>
  <ScaleCrop>false</ScaleCrop>
  <Company>TU-Wien Campuslizenz</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dc:description/>
  <cp:lastModifiedBy>Rehfeldt, Matthias</cp:lastModifiedBy>
  <cp:revision>10</cp:revision>
  <dcterms:created xsi:type="dcterms:W3CDTF">2018-11-07T13:37:00Z</dcterms:created>
  <dcterms:modified xsi:type="dcterms:W3CDTF">2018-11-07T14:17:00Z</dcterms:modified>
</cp:coreProperties>
</file>