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6094" w:rsidRDefault="00B76094" w:rsidP="00A156E4">
      <w:pPr>
        <w:pStyle w:val="AutorenOrganisation"/>
        <w:rPr>
          <w:b/>
          <w:snapToGrid w:val="0"/>
          <w:color w:val="auto"/>
          <w:spacing w:val="0"/>
          <w:kern w:val="28"/>
          <w:sz w:val="32"/>
          <w:szCs w:val="20"/>
          <w:lang w:val="en-US" w:eastAsia="en-US"/>
        </w:rPr>
      </w:pPr>
      <w:r w:rsidRPr="00B76094">
        <w:rPr>
          <w:b/>
          <w:snapToGrid w:val="0"/>
          <w:color w:val="auto"/>
          <w:spacing w:val="0"/>
          <w:kern w:val="28"/>
          <w:sz w:val="32"/>
          <w:szCs w:val="20"/>
          <w:lang w:val="en-US" w:eastAsia="en-US"/>
        </w:rPr>
        <w:t>Operat</w:t>
      </w:r>
      <w:r>
        <w:rPr>
          <w:b/>
          <w:snapToGrid w:val="0"/>
          <w:color w:val="auto"/>
          <w:spacing w:val="0"/>
          <w:kern w:val="28"/>
          <w:sz w:val="32"/>
          <w:szCs w:val="20"/>
          <w:lang w:val="en-US" w:eastAsia="en-US"/>
        </w:rPr>
        <w:t>ion</w:t>
      </w:r>
      <w:r w:rsidRPr="00B76094">
        <w:rPr>
          <w:b/>
          <w:snapToGrid w:val="0"/>
          <w:color w:val="auto"/>
          <w:spacing w:val="0"/>
          <w:kern w:val="28"/>
          <w:sz w:val="32"/>
          <w:szCs w:val="20"/>
          <w:lang w:val="en-US" w:eastAsia="en-US"/>
        </w:rPr>
        <w:t xml:space="preserve"> strategies of </w:t>
      </w:r>
      <w:r w:rsidR="00B45CE0">
        <w:rPr>
          <w:b/>
          <w:snapToGrid w:val="0"/>
          <w:color w:val="auto"/>
          <w:spacing w:val="0"/>
          <w:kern w:val="28"/>
          <w:sz w:val="32"/>
          <w:szCs w:val="20"/>
          <w:lang w:val="en-US" w:eastAsia="en-US"/>
        </w:rPr>
        <w:t xml:space="preserve">battery </w:t>
      </w:r>
      <w:r w:rsidR="007272E9">
        <w:rPr>
          <w:b/>
          <w:snapToGrid w:val="0"/>
          <w:color w:val="auto"/>
          <w:spacing w:val="0"/>
          <w:kern w:val="28"/>
          <w:sz w:val="32"/>
          <w:szCs w:val="20"/>
          <w:lang w:val="en-US" w:eastAsia="en-US"/>
        </w:rPr>
        <w:t xml:space="preserve">energy </w:t>
      </w:r>
      <w:r w:rsidR="00C654AB">
        <w:rPr>
          <w:b/>
          <w:snapToGrid w:val="0"/>
          <w:color w:val="auto"/>
          <w:spacing w:val="0"/>
          <w:kern w:val="28"/>
          <w:sz w:val="32"/>
          <w:szCs w:val="20"/>
          <w:lang w:val="en-US" w:eastAsia="en-US"/>
        </w:rPr>
        <w:t>storage systems considering</w:t>
      </w:r>
      <w:r w:rsidRPr="00B76094">
        <w:rPr>
          <w:b/>
          <w:snapToGrid w:val="0"/>
          <w:color w:val="auto"/>
          <w:spacing w:val="0"/>
          <w:kern w:val="28"/>
          <w:sz w:val="32"/>
          <w:szCs w:val="20"/>
          <w:lang w:val="en-US" w:eastAsia="en-US"/>
        </w:rPr>
        <w:t xml:space="preserve"> flexible loads</w:t>
      </w:r>
    </w:p>
    <w:p w:rsidR="00BF05FA" w:rsidRPr="00B76094" w:rsidRDefault="00BF05FA" w:rsidP="00A156E4">
      <w:pPr>
        <w:pStyle w:val="AutorenOrganisation"/>
        <w:rPr>
          <w:lang w:val="en-US"/>
        </w:rPr>
      </w:pPr>
      <w:r w:rsidRPr="00B76094">
        <w:rPr>
          <w:lang w:val="en-US"/>
        </w:rPr>
        <w:t>Themenbereich</w:t>
      </w:r>
      <w:r w:rsidR="00DA62A1" w:rsidRPr="00B76094">
        <w:rPr>
          <w:lang w:val="en-US"/>
        </w:rPr>
        <w:t xml:space="preserve"> 2</w:t>
      </w:r>
    </w:p>
    <w:p w:rsidR="0081057D" w:rsidRPr="00B92417" w:rsidRDefault="0081057D" w:rsidP="0081057D">
      <w:pPr>
        <w:pStyle w:val="AutorenOrganisation"/>
        <w:rPr>
          <w:vertAlign w:val="superscript"/>
          <w:lang w:val="en-US"/>
        </w:rPr>
      </w:pPr>
      <w:r w:rsidRPr="00B92417">
        <w:rPr>
          <w:lang w:val="en-US"/>
        </w:rPr>
        <w:t>Johannes RADL</w:t>
      </w:r>
      <w:r w:rsidR="00A156E4" w:rsidRPr="00B92417">
        <w:rPr>
          <w:vertAlign w:val="superscript"/>
          <w:lang w:val="en-US"/>
        </w:rPr>
        <w:t>(1)</w:t>
      </w:r>
      <w:r w:rsidR="005E4D4F" w:rsidRPr="00B92417">
        <w:rPr>
          <w:lang w:val="en-US"/>
        </w:rPr>
        <w:t>,</w:t>
      </w:r>
      <w:r w:rsidR="00B92417" w:rsidRPr="00B92417">
        <w:rPr>
          <w:lang w:val="en-US"/>
        </w:rPr>
        <w:t xml:space="preserve"> Fabian MOISL</w:t>
      </w:r>
      <w:r w:rsidR="00B92417" w:rsidRPr="00B92417">
        <w:rPr>
          <w:vertAlign w:val="superscript"/>
          <w:lang w:val="en-US"/>
        </w:rPr>
        <w:t>(1)</w:t>
      </w:r>
      <w:r w:rsidR="00D1420A">
        <w:rPr>
          <w:lang w:val="en-US"/>
        </w:rPr>
        <w:t xml:space="preserve">, </w:t>
      </w:r>
      <w:r w:rsidRPr="00B92417">
        <w:rPr>
          <w:lang w:val="en-US"/>
        </w:rPr>
        <w:t>Georg LETTNER</w:t>
      </w:r>
      <w:r w:rsidRPr="00B92417">
        <w:rPr>
          <w:vertAlign w:val="superscript"/>
          <w:lang w:val="en-US"/>
        </w:rPr>
        <w:t>(</w:t>
      </w:r>
      <w:r w:rsidR="00CA71C3" w:rsidRPr="00B92417">
        <w:rPr>
          <w:vertAlign w:val="superscript"/>
          <w:lang w:val="en-US"/>
        </w:rPr>
        <w:t>1</w:t>
      </w:r>
      <w:r w:rsidR="00C36AD1">
        <w:rPr>
          <w:vertAlign w:val="superscript"/>
          <w:lang w:val="en-US"/>
        </w:rPr>
        <w:t>)</w:t>
      </w:r>
      <w:r w:rsidRPr="00B92417">
        <w:rPr>
          <w:lang w:val="en-US"/>
        </w:rPr>
        <w:t xml:space="preserve">  </w:t>
      </w:r>
      <w:r w:rsidR="005E4D4F" w:rsidRPr="00B92417">
        <w:rPr>
          <w:lang w:val="en-US"/>
        </w:rPr>
        <w:t xml:space="preserve"> </w:t>
      </w:r>
    </w:p>
    <w:p w:rsidR="005E4D4F" w:rsidRPr="00C36AD1" w:rsidRDefault="00A156E4" w:rsidP="005E4D4F">
      <w:pPr>
        <w:pStyle w:val="AutorenOrganisation"/>
      </w:pPr>
      <w:r w:rsidRPr="00C36AD1">
        <w:rPr>
          <w:vertAlign w:val="superscript"/>
        </w:rPr>
        <w:t>(</w:t>
      </w:r>
      <w:r w:rsidR="00010E92" w:rsidRPr="00C36AD1">
        <w:rPr>
          <w:vertAlign w:val="superscript"/>
        </w:rPr>
        <w:t>1</w:t>
      </w:r>
      <w:r w:rsidRPr="00C36AD1">
        <w:rPr>
          <w:vertAlign w:val="superscript"/>
        </w:rPr>
        <w:t>)</w:t>
      </w:r>
      <w:r w:rsidR="0081057D" w:rsidRPr="00C36AD1">
        <w:t>T</w:t>
      </w:r>
      <w:r w:rsidR="00C36AD1" w:rsidRPr="00C36AD1">
        <w:t>echnische Universität</w:t>
      </w:r>
      <w:r w:rsidR="0081057D" w:rsidRPr="00C36AD1">
        <w:t xml:space="preserve"> Wien </w:t>
      </w:r>
      <w:r w:rsidR="00C36AD1" w:rsidRPr="00C36AD1">
        <w:t xml:space="preserve">(TU Wien) </w:t>
      </w:r>
      <w:r w:rsidR="00CA71C3" w:rsidRPr="00C36AD1">
        <w:t xml:space="preserve">- </w:t>
      </w:r>
      <w:r w:rsidR="0081057D" w:rsidRPr="00C36AD1">
        <w:t>Energy Economics Group</w:t>
      </w:r>
      <w:r w:rsidR="00C36AD1">
        <w:t xml:space="preserve"> (EEG)</w:t>
      </w:r>
    </w:p>
    <w:p w:rsidR="00A07737" w:rsidRPr="00C36AD1" w:rsidRDefault="00A07737" w:rsidP="00FB69AE">
      <w:pPr>
        <w:rPr>
          <w:lang w:val="de-AT"/>
        </w:rPr>
      </w:pPr>
    </w:p>
    <w:p w:rsidR="005E4D4F" w:rsidRPr="00C654AB" w:rsidRDefault="00C654AB" w:rsidP="005E4D4F">
      <w:pPr>
        <w:pStyle w:val="Ueberschrift"/>
        <w:rPr>
          <w:lang w:val="en-US"/>
        </w:rPr>
      </w:pPr>
      <w:r w:rsidRPr="00C654AB">
        <w:rPr>
          <w:lang w:val="en-US"/>
        </w:rPr>
        <w:t>Introduction</w:t>
      </w:r>
    </w:p>
    <w:p w:rsidR="005E4D4F" w:rsidRPr="00C654AB" w:rsidRDefault="005E4D4F" w:rsidP="00227125">
      <w:pPr>
        <w:rPr>
          <w:lang w:val="en-US"/>
        </w:rPr>
      </w:pPr>
    </w:p>
    <w:p w:rsidR="00C654AB" w:rsidRPr="00C654AB" w:rsidRDefault="00C654AB" w:rsidP="00C654AB">
      <w:pPr>
        <w:rPr>
          <w:lang w:val="en-US"/>
        </w:rPr>
      </w:pPr>
      <w:r w:rsidRPr="00C654AB">
        <w:rPr>
          <w:lang w:val="en-US"/>
        </w:rPr>
        <w:t xml:space="preserve">High penetration of PV systems can lead to </w:t>
      </w:r>
      <w:r>
        <w:rPr>
          <w:lang w:val="en-US"/>
        </w:rPr>
        <w:t xml:space="preserve">difficult </w:t>
      </w:r>
      <w:r w:rsidRPr="00C654AB">
        <w:rPr>
          <w:lang w:val="en-US"/>
        </w:rPr>
        <w:t xml:space="preserve">grid </w:t>
      </w:r>
      <w:r>
        <w:rPr>
          <w:lang w:val="en-US"/>
        </w:rPr>
        <w:t>situations</w:t>
      </w:r>
      <w:r w:rsidR="0093632E">
        <w:rPr>
          <w:lang w:val="en-US"/>
        </w:rPr>
        <w:t xml:space="preserve"> (Bayer</w:t>
      </w:r>
      <w:r w:rsidR="00E465E3">
        <w:rPr>
          <w:lang w:val="en-US"/>
        </w:rPr>
        <w:t xml:space="preserve">, </w:t>
      </w:r>
      <w:r w:rsidR="0093632E">
        <w:rPr>
          <w:lang w:val="en-US"/>
        </w:rPr>
        <w:t>2018)</w:t>
      </w:r>
      <w:r w:rsidR="00E465E3">
        <w:rPr>
          <w:lang w:val="en-US"/>
        </w:rPr>
        <w:t>, e</w:t>
      </w:r>
      <w:r w:rsidRPr="00C654AB">
        <w:rPr>
          <w:lang w:val="en-US"/>
        </w:rPr>
        <w:t>specially in</w:t>
      </w:r>
      <w:r>
        <w:rPr>
          <w:lang w:val="en-US"/>
        </w:rPr>
        <w:t xml:space="preserve"> rural residential areas with </w:t>
      </w:r>
      <w:r w:rsidRPr="00C654AB">
        <w:rPr>
          <w:lang w:val="en-US"/>
        </w:rPr>
        <w:t xml:space="preserve">high PV penetration and low consumption during the day. </w:t>
      </w:r>
      <w:r w:rsidR="005F6A1B">
        <w:rPr>
          <w:lang w:val="en-US"/>
        </w:rPr>
        <w:t>In the project LEAFS</w:t>
      </w:r>
      <w:r w:rsidR="005F6A1B">
        <w:rPr>
          <w:rStyle w:val="FootnoteReference"/>
          <w:lang w:val="en-US"/>
        </w:rPr>
        <w:footnoteReference w:id="1"/>
      </w:r>
      <w:r w:rsidR="005F6A1B">
        <w:rPr>
          <w:lang w:val="en-US"/>
        </w:rPr>
        <w:t xml:space="preserve"> we evaluate w</w:t>
      </w:r>
      <w:r>
        <w:rPr>
          <w:lang w:val="en-US"/>
        </w:rPr>
        <w:t>ays to reduce this impact</w:t>
      </w:r>
      <w:r w:rsidR="00E465E3">
        <w:rPr>
          <w:lang w:val="en-US"/>
        </w:rPr>
        <w:t xml:space="preserve"> by applying different operation strategies</w:t>
      </w:r>
      <w:r w:rsidRPr="00C654AB">
        <w:rPr>
          <w:lang w:val="en-US"/>
        </w:rPr>
        <w:t xml:space="preserve">, </w:t>
      </w:r>
      <w:r>
        <w:rPr>
          <w:lang w:val="en-US"/>
        </w:rPr>
        <w:t>using</w:t>
      </w:r>
      <w:r w:rsidRPr="00C654AB">
        <w:rPr>
          <w:lang w:val="en-US"/>
        </w:rPr>
        <w:t xml:space="preserve"> storage systems or </w:t>
      </w:r>
      <w:r>
        <w:rPr>
          <w:lang w:val="en-US"/>
        </w:rPr>
        <w:t xml:space="preserve">activating </w:t>
      </w:r>
      <w:r w:rsidRPr="00C654AB">
        <w:rPr>
          <w:lang w:val="en-US"/>
        </w:rPr>
        <w:t>flexible loads.</w:t>
      </w:r>
    </w:p>
    <w:p w:rsidR="00C654AB" w:rsidRPr="00C654AB" w:rsidRDefault="00C654AB" w:rsidP="00C654AB">
      <w:pPr>
        <w:rPr>
          <w:lang w:val="en-US"/>
        </w:rPr>
      </w:pPr>
    </w:p>
    <w:p w:rsidR="00AD7533" w:rsidRPr="00C654AB" w:rsidRDefault="00C654AB" w:rsidP="00C654AB">
      <w:pPr>
        <w:rPr>
          <w:lang w:val="en-US"/>
        </w:rPr>
      </w:pPr>
      <w:r w:rsidRPr="00C654AB">
        <w:rPr>
          <w:lang w:val="en-US"/>
        </w:rPr>
        <w:t xml:space="preserve">This paper examines how incentives and penalties affect PV generation, as well as the operation of </w:t>
      </w:r>
      <w:r w:rsidR="00CD7389">
        <w:rPr>
          <w:lang w:val="en-US"/>
        </w:rPr>
        <w:t xml:space="preserve">battery </w:t>
      </w:r>
      <w:r w:rsidR="00E465E3">
        <w:rPr>
          <w:lang w:val="en-US"/>
        </w:rPr>
        <w:t>energy</w:t>
      </w:r>
      <w:r w:rsidRPr="00C654AB">
        <w:rPr>
          <w:lang w:val="en-US"/>
        </w:rPr>
        <w:t xml:space="preserve"> storage systems </w:t>
      </w:r>
      <w:r w:rsidR="005F6A1B">
        <w:rPr>
          <w:lang w:val="en-US"/>
        </w:rPr>
        <w:t xml:space="preserve">(BESS) </w:t>
      </w:r>
      <w:r w:rsidRPr="00C654AB">
        <w:rPr>
          <w:lang w:val="en-US"/>
        </w:rPr>
        <w:t>and flexible loads. In addition to classic self-consumption optimization, the operat</w:t>
      </w:r>
      <w:r>
        <w:rPr>
          <w:lang w:val="en-US"/>
        </w:rPr>
        <w:t>ion</w:t>
      </w:r>
      <w:r w:rsidRPr="00C654AB">
        <w:rPr>
          <w:lang w:val="en-US"/>
        </w:rPr>
        <w:t xml:space="preserve"> strategies include flexible electricity tariffs, feed-in limits, </w:t>
      </w:r>
      <w:r w:rsidR="00AD45BB">
        <w:rPr>
          <w:lang w:val="en-US"/>
        </w:rPr>
        <w:t>power fees</w:t>
      </w:r>
      <w:r w:rsidRPr="00C654AB">
        <w:rPr>
          <w:lang w:val="en-US"/>
        </w:rPr>
        <w:t xml:space="preserve"> and time-dependent bonuses. Depending on the various incentives, the</w:t>
      </w:r>
      <w:r w:rsidR="00AD45BB">
        <w:rPr>
          <w:lang w:val="en-US"/>
        </w:rPr>
        <w:t xml:space="preserve"> benefit</w:t>
      </w:r>
      <w:r w:rsidR="00CD7389">
        <w:rPr>
          <w:lang w:val="en-US"/>
        </w:rPr>
        <w:t>s</w:t>
      </w:r>
      <w:r w:rsidR="00AD45BB">
        <w:rPr>
          <w:lang w:val="en-US"/>
        </w:rPr>
        <w:t xml:space="preserve"> </w:t>
      </w:r>
      <w:r w:rsidRPr="00C654AB">
        <w:rPr>
          <w:lang w:val="en-US"/>
        </w:rPr>
        <w:t>for the prosumer</w:t>
      </w:r>
      <w:r w:rsidR="00CD7389">
        <w:rPr>
          <w:lang w:val="en-US"/>
        </w:rPr>
        <w:t>s</w:t>
      </w:r>
      <w:r w:rsidRPr="00C654AB">
        <w:rPr>
          <w:lang w:val="en-US"/>
        </w:rPr>
        <w:t xml:space="preserve"> </w:t>
      </w:r>
      <w:r w:rsidR="00CD7389" w:rsidRPr="00F4350E">
        <w:rPr>
          <w:rStyle w:val="CommentReference"/>
          <w:lang w:val="en-US"/>
        </w:rPr>
        <w:t>are</w:t>
      </w:r>
      <w:r w:rsidR="00CD7389" w:rsidRPr="00C654AB">
        <w:rPr>
          <w:lang w:val="en-US"/>
        </w:rPr>
        <w:t xml:space="preserve"> </w:t>
      </w:r>
      <w:r w:rsidRPr="00C654AB">
        <w:rPr>
          <w:lang w:val="en-US"/>
        </w:rPr>
        <w:t>determined.</w:t>
      </w:r>
    </w:p>
    <w:p w:rsidR="00C654AB" w:rsidRPr="00C654AB" w:rsidRDefault="00C654AB" w:rsidP="00C654AB">
      <w:pPr>
        <w:rPr>
          <w:lang w:val="en-US"/>
        </w:rPr>
      </w:pPr>
    </w:p>
    <w:p w:rsidR="00AD45BB" w:rsidRDefault="00AD45BB" w:rsidP="00227125">
      <w:pPr>
        <w:rPr>
          <w:b/>
          <w:spacing w:val="-5"/>
          <w:sz w:val="22"/>
          <w:lang w:eastAsia="de-DE"/>
        </w:rPr>
      </w:pPr>
      <w:r w:rsidRPr="00AD45BB">
        <w:rPr>
          <w:b/>
          <w:spacing w:val="-5"/>
          <w:sz w:val="22"/>
          <w:lang w:eastAsia="de-DE"/>
        </w:rPr>
        <w:t xml:space="preserve">Methodology </w:t>
      </w:r>
    </w:p>
    <w:p w:rsidR="00AD45BB" w:rsidRDefault="00AD45BB" w:rsidP="00AD45BB"/>
    <w:p w:rsidR="00AD45BB" w:rsidRPr="00AD45BB" w:rsidRDefault="00AD45BB" w:rsidP="00AD45BB">
      <w:pPr>
        <w:rPr>
          <w:lang w:val="en-US"/>
        </w:rPr>
      </w:pPr>
      <w:r w:rsidRPr="00AD45BB">
        <w:rPr>
          <w:lang w:val="en-US"/>
        </w:rPr>
        <w:t xml:space="preserve">Based on real measurements of the field-testing areas Eberstalzell and Köstendorf, flexible and inflexible </w:t>
      </w:r>
      <w:r>
        <w:rPr>
          <w:lang w:val="en-US"/>
        </w:rPr>
        <w:t>loads</w:t>
      </w:r>
      <w:r w:rsidRPr="00AD45BB">
        <w:rPr>
          <w:lang w:val="en-US"/>
        </w:rPr>
        <w:t xml:space="preserve"> were generated </w:t>
      </w:r>
      <w:r w:rsidR="005F6A1B">
        <w:rPr>
          <w:lang w:val="en-US"/>
        </w:rPr>
        <w:t xml:space="preserve">(Zeilinger, 2017) </w:t>
      </w:r>
      <w:r w:rsidRPr="00AD45BB">
        <w:rPr>
          <w:lang w:val="en-US"/>
        </w:rPr>
        <w:t xml:space="preserve">for each household as part of the research project LEAFS. </w:t>
      </w:r>
      <w:r w:rsidR="000C7706">
        <w:rPr>
          <w:lang w:val="en-US"/>
        </w:rPr>
        <w:t>The measured data of 103 PV systems is used in 5 minutes resolution for realistic simulation.</w:t>
      </w:r>
    </w:p>
    <w:p w:rsidR="00AD45BB" w:rsidRPr="00AD45BB" w:rsidRDefault="00AD45BB" w:rsidP="00AD45BB">
      <w:pPr>
        <w:rPr>
          <w:lang w:val="en-US"/>
        </w:rPr>
      </w:pPr>
    </w:p>
    <w:p w:rsidR="00D422E0" w:rsidRDefault="00D422E0" w:rsidP="00D422E0">
      <w:pPr>
        <w:rPr>
          <w:lang w:val="en-US"/>
        </w:rPr>
      </w:pPr>
      <w:r>
        <w:rPr>
          <w:lang w:val="en-US"/>
        </w:rPr>
        <w:t xml:space="preserve">In the </w:t>
      </w:r>
      <w:r w:rsidR="00AD45BB" w:rsidRPr="00AD45BB">
        <w:rPr>
          <w:lang w:val="en-US"/>
        </w:rPr>
        <w:t xml:space="preserve">baseline </w:t>
      </w:r>
      <w:r>
        <w:rPr>
          <w:lang w:val="en-US"/>
        </w:rPr>
        <w:t>scenario</w:t>
      </w:r>
      <w:r w:rsidRPr="00AD45BB">
        <w:rPr>
          <w:lang w:val="en-US"/>
        </w:rPr>
        <w:t>,</w:t>
      </w:r>
      <w:r>
        <w:rPr>
          <w:lang w:val="en-US"/>
        </w:rPr>
        <w:t xml:space="preserve"> we consider the entire load as </w:t>
      </w:r>
      <w:r w:rsidR="00AD45BB" w:rsidRPr="00AD45BB">
        <w:rPr>
          <w:lang w:val="en-US"/>
        </w:rPr>
        <w:t>inflexible</w:t>
      </w:r>
      <w:r>
        <w:rPr>
          <w:lang w:val="en-US"/>
        </w:rPr>
        <w:t xml:space="preserve"> and without any storage systems.</w:t>
      </w:r>
      <w:r w:rsidR="000C7706">
        <w:rPr>
          <w:lang w:val="en-US"/>
        </w:rPr>
        <w:t xml:space="preserve"> </w:t>
      </w:r>
      <w:r>
        <w:rPr>
          <w:lang w:val="en-US"/>
        </w:rPr>
        <w:t xml:space="preserve"> Whereas for the i</w:t>
      </w:r>
      <w:r w:rsidR="00AD45BB" w:rsidRPr="00AD45BB">
        <w:rPr>
          <w:lang w:val="en-US"/>
        </w:rPr>
        <w:t>mproved scenario</w:t>
      </w:r>
      <w:r w:rsidR="000C7706">
        <w:rPr>
          <w:lang w:val="en-US"/>
        </w:rPr>
        <w:t xml:space="preserve"> we include flexibilities. </w:t>
      </w:r>
      <w:r w:rsidR="007213C4">
        <w:rPr>
          <w:lang w:val="en-US"/>
        </w:rPr>
        <w:t xml:space="preserve">We model for </w:t>
      </w:r>
      <w:r w:rsidR="000C7706">
        <w:rPr>
          <w:lang w:val="en-US"/>
        </w:rPr>
        <w:t>every PV prosumer a</w:t>
      </w:r>
      <w:r w:rsidR="00AD45BB" w:rsidRPr="00AD45BB">
        <w:rPr>
          <w:lang w:val="en-US"/>
        </w:rPr>
        <w:t xml:space="preserve"> </w:t>
      </w:r>
      <w:r w:rsidR="005F6A1B">
        <w:rPr>
          <w:lang w:val="en-US"/>
        </w:rPr>
        <w:t>BESS</w:t>
      </w:r>
      <w:r w:rsidR="00AD45BB" w:rsidRPr="00AD45BB">
        <w:rPr>
          <w:lang w:val="en-US"/>
        </w:rPr>
        <w:t xml:space="preserve">, </w:t>
      </w:r>
      <w:r w:rsidR="00AD45BB" w:rsidRPr="00CA6405">
        <w:rPr>
          <w:lang w:val="en-US"/>
        </w:rPr>
        <w:t>corresponding</w:t>
      </w:r>
      <w:r w:rsidR="00AD45BB" w:rsidRPr="00AD45BB">
        <w:rPr>
          <w:lang w:val="en-US"/>
        </w:rPr>
        <w:t xml:space="preserve"> to the PV size</w:t>
      </w:r>
      <w:r w:rsidR="005518B3">
        <w:rPr>
          <w:lang w:val="en-US"/>
        </w:rPr>
        <w:t xml:space="preserve"> </w:t>
      </w:r>
      <w:r w:rsidR="007213C4">
        <w:rPr>
          <w:lang w:val="en-US"/>
        </w:rPr>
        <w:t xml:space="preserve">given in </w:t>
      </w:r>
      <w:r w:rsidR="005518B3">
        <w:rPr>
          <w:lang w:val="en-US"/>
        </w:rPr>
        <w:t>Table 1</w:t>
      </w:r>
      <w:r w:rsidR="00AD45BB" w:rsidRPr="00AD45BB">
        <w:rPr>
          <w:lang w:val="en-US"/>
        </w:rPr>
        <w:t xml:space="preserve">. </w:t>
      </w:r>
      <w:r w:rsidR="007213C4">
        <w:rPr>
          <w:lang w:val="en-US"/>
        </w:rPr>
        <w:t xml:space="preserve">In addition, all flexibilities have </w:t>
      </w:r>
      <w:r w:rsidR="00E465E3">
        <w:rPr>
          <w:lang w:val="en-US"/>
        </w:rPr>
        <w:t xml:space="preserve">the </w:t>
      </w:r>
      <w:r w:rsidR="007213C4">
        <w:rPr>
          <w:lang w:val="en-US"/>
        </w:rPr>
        <w:t>shifting potentials given in Table 2</w:t>
      </w:r>
      <w:r>
        <w:rPr>
          <w:lang w:val="en-US"/>
        </w:rPr>
        <w:t xml:space="preserve">. </w:t>
      </w:r>
    </w:p>
    <w:p w:rsidR="00ED0AED" w:rsidRPr="000411CB" w:rsidRDefault="00ED0AED" w:rsidP="00D422E0">
      <w:pPr>
        <w:rPr>
          <w:lang w:val="en-GB"/>
        </w:rPr>
      </w:pPr>
    </w:p>
    <w:p w:rsidR="00A601C2" w:rsidRPr="000411CB" w:rsidRDefault="00A601C2" w:rsidP="00F4350E">
      <w:pPr>
        <w:pStyle w:val="Abbildungsbeschriftung"/>
        <w:jc w:val="left"/>
        <w:rPr>
          <w:lang w:val="en-GB"/>
        </w:rPr>
      </w:pPr>
      <w:bookmarkStart w:id="0" w:name="_Ref517093877"/>
      <w:bookmarkStart w:id="1" w:name="_Toc519581368"/>
      <w:r w:rsidRPr="000411CB">
        <w:rPr>
          <w:lang w:val="en-GB"/>
        </w:rPr>
        <w:t xml:space="preserve">Table </w:t>
      </w:r>
      <w:r w:rsidR="00DB56FB" w:rsidRPr="000411CB">
        <w:rPr>
          <w:lang w:val="en-GB"/>
        </w:rPr>
        <w:t>1:</w:t>
      </w:r>
      <w:r w:rsidRPr="000411CB">
        <w:rPr>
          <w:lang w:val="en-GB"/>
        </w:rPr>
        <w:t xml:space="preserve"> Assumptions </w:t>
      </w:r>
      <w:bookmarkEnd w:id="0"/>
      <w:bookmarkEnd w:id="1"/>
      <w:r w:rsidRPr="000411CB">
        <w:rPr>
          <w:lang w:val="en-GB"/>
        </w:rPr>
        <w:t>of PV to BESS size</w:t>
      </w:r>
    </w:p>
    <w:tbl>
      <w:tblPr>
        <w:tblpPr w:leftFromText="141" w:rightFromText="141" w:vertAnchor="text" w:tblpY="1"/>
        <w:tblOverlap w:val="never"/>
        <w:tblW w:w="4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1"/>
        <w:gridCol w:w="389"/>
        <w:gridCol w:w="585"/>
        <w:gridCol w:w="390"/>
        <w:gridCol w:w="597"/>
        <w:gridCol w:w="1665"/>
        <w:tblGridChange w:id="2">
          <w:tblGrid>
            <w:gridCol w:w="581"/>
            <w:gridCol w:w="389"/>
            <w:gridCol w:w="585"/>
            <w:gridCol w:w="390"/>
            <w:gridCol w:w="597"/>
            <w:gridCol w:w="1665"/>
          </w:tblGrid>
        </w:tblGridChange>
      </w:tblGrid>
      <w:tr w:rsidR="000411CB" w:rsidRPr="00C2646C" w:rsidTr="00C2646C">
        <w:trPr>
          <w:trHeight w:val="538"/>
        </w:trPr>
        <w:tc>
          <w:tcPr>
            <w:tcW w:w="2542" w:type="dxa"/>
            <w:gridSpan w:val="5"/>
            <w:shd w:val="clear" w:color="auto" w:fill="auto"/>
          </w:tcPr>
          <w:p w:rsidR="000411CB" w:rsidRPr="00C2646C" w:rsidRDefault="00A601C2" w:rsidP="00C2646C">
            <w:pPr>
              <w:jc w:val="center"/>
              <w:rPr>
                <w:b/>
                <w:lang w:val="en-GB"/>
              </w:rPr>
            </w:pPr>
            <w:r w:rsidRPr="00C2646C">
              <w:rPr>
                <w:b/>
                <w:lang w:val="en-GB"/>
              </w:rPr>
              <w:t>PV system</w:t>
            </w:r>
            <w:r w:rsidR="000411CB" w:rsidRPr="00C2646C">
              <w:rPr>
                <w:b/>
                <w:lang w:val="en-GB"/>
              </w:rPr>
              <w:t xml:space="preserve"> </w:t>
            </w:r>
          </w:p>
          <w:p w:rsidR="00A601C2" w:rsidRPr="00C2646C" w:rsidRDefault="00A601C2" w:rsidP="00C2646C">
            <w:pPr>
              <w:jc w:val="center"/>
              <w:rPr>
                <w:b/>
                <w:lang w:val="en-GB"/>
              </w:rPr>
            </w:pPr>
            <w:r w:rsidRPr="00C2646C">
              <w:rPr>
                <w:b/>
                <w:lang w:val="en-GB"/>
              </w:rPr>
              <w:t>[kWp]</w:t>
            </w:r>
          </w:p>
        </w:tc>
        <w:tc>
          <w:tcPr>
            <w:tcW w:w="1665" w:type="dxa"/>
            <w:shd w:val="clear" w:color="auto" w:fill="auto"/>
            <w:hideMark/>
          </w:tcPr>
          <w:p w:rsidR="00A601C2" w:rsidRPr="00C2646C" w:rsidRDefault="00A601C2" w:rsidP="00C2646C">
            <w:pPr>
              <w:jc w:val="center"/>
              <w:rPr>
                <w:b/>
                <w:lang w:val="en-GB"/>
              </w:rPr>
            </w:pPr>
            <w:r w:rsidRPr="00C2646C">
              <w:rPr>
                <w:b/>
                <w:lang w:val="en-GB"/>
              </w:rPr>
              <w:t>rated capacity</w:t>
            </w:r>
            <w:r w:rsidR="000411CB" w:rsidRPr="00C2646C">
              <w:rPr>
                <w:b/>
                <w:lang w:val="en-GB"/>
              </w:rPr>
              <w:t xml:space="preserve"> </w:t>
            </w:r>
            <w:r w:rsidRPr="00C2646C">
              <w:rPr>
                <w:b/>
                <w:lang w:val="en-GB"/>
              </w:rPr>
              <w:t>[kWh]</w:t>
            </w:r>
          </w:p>
        </w:tc>
      </w:tr>
      <w:tr w:rsidR="00F4350E" w:rsidRPr="00C2646C" w:rsidTr="00C2646C">
        <w:trPr>
          <w:trHeight w:val="195"/>
        </w:trPr>
        <w:tc>
          <w:tcPr>
            <w:tcW w:w="581" w:type="dxa"/>
            <w:tcBorders>
              <w:right w:val="nil"/>
            </w:tcBorders>
            <w:shd w:val="clear" w:color="auto" w:fill="auto"/>
          </w:tcPr>
          <w:p w:rsidR="00A601C2" w:rsidRPr="00C2646C" w:rsidRDefault="00A601C2" w:rsidP="00C2646C">
            <w:pPr>
              <w:jc w:val="center"/>
              <w:rPr>
                <w:lang w:val="en-GB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601C2" w:rsidRPr="00C2646C" w:rsidRDefault="00A601C2" w:rsidP="00C2646C">
            <w:pPr>
              <w:jc w:val="center"/>
              <w:rPr>
                <w:lang w:val="en-GB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601C2" w:rsidRPr="00C2646C" w:rsidRDefault="00A601C2" w:rsidP="00C2646C">
            <w:pPr>
              <w:jc w:val="center"/>
              <w:rPr>
                <w:lang w:val="en-GB"/>
              </w:rPr>
            </w:pPr>
            <w:r w:rsidRPr="00C2646C">
              <w:rPr>
                <w:lang w:val="en-GB"/>
              </w:rPr>
              <w:t>PV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601C2" w:rsidRPr="00C2646C" w:rsidRDefault="00A601C2" w:rsidP="00C2646C">
            <w:pPr>
              <w:jc w:val="center"/>
              <w:rPr>
                <w:lang w:val="en-GB"/>
              </w:rPr>
            </w:pPr>
            <w:r w:rsidRPr="00C2646C">
              <w:rPr>
                <w:lang w:val="en-GB"/>
              </w:rPr>
              <w:t>≤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601C2" w:rsidRPr="00C2646C" w:rsidRDefault="00A601C2" w:rsidP="00C2646C">
            <w:pPr>
              <w:jc w:val="center"/>
              <w:rPr>
                <w:lang w:val="en-GB"/>
              </w:rPr>
            </w:pPr>
            <w:r w:rsidRPr="00C2646C">
              <w:rPr>
                <w:lang w:val="en-GB"/>
              </w:rPr>
              <w:t>3,6</w:t>
            </w:r>
          </w:p>
        </w:tc>
        <w:tc>
          <w:tcPr>
            <w:tcW w:w="1665" w:type="dxa"/>
            <w:shd w:val="clear" w:color="auto" w:fill="auto"/>
            <w:noWrap/>
            <w:hideMark/>
          </w:tcPr>
          <w:p w:rsidR="00A601C2" w:rsidRPr="00C2646C" w:rsidRDefault="00A601C2" w:rsidP="00C2646C">
            <w:pPr>
              <w:jc w:val="center"/>
              <w:rPr>
                <w:lang w:val="en-GB"/>
              </w:rPr>
            </w:pPr>
            <w:r w:rsidRPr="00C2646C">
              <w:rPr>
                <w:lang w:val="en-GB"/>
              </w:rPr>
              <w:t>4,5</w:t>
            </w:r>
          </w:p>
        </w:tc>
      </w:tr>
      <w:tr w:rsidR="00F4350E" w:rsidRPr="00C2646C" w:rsidTr="00C2646C">
        <w:trPr>
          <w:trHeight w:val="151"/>
        </w:trPr>
        <w:tc>
          <w:tcPr>
            <w:tcW w:w="581" w:type="dxa"/>
            <w:tcBorders>
              <w:right w:val="nil"/>
            </w:tcBorders>
            <w:shd w:val="clear" w:color="auto" w:fill="auto"/>
          </w:tcPr>
          <w:p w:rsidR="00A601C2" w:rsidRPr="00C2646C" w:rsidRDefault="00A601C2" w:rsidP="00C2646C">
            <w:pPr>
              <w:jc w:val="center"/>
              <w:rPr>
                <w:lang w:val="en-GB"/>
              </w:rPr>
            </w:pPr>
            <w:r w:rsidRPr="00C2646C">
              <w:rPr>
                <w:lang w:val="en-GB"/>
              </w:rPr>
              <w:t>3,6</w:t>
            </w:r>
          </w:p>
        </w:tc>
        <w:tc>
          <w:tcPr>
            <w:tcW w:w="3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601C2" w:rsidRPr="00C2646C" w:rsidRDefault="00A601C2" w:rsidP="00C2646C">
            <w:pPr>
              <w:jc w:val="center"/>
              <w:rPr>
                <w:lang w:val="en-GB"/>
              </w:rPr>
            </w:pPr>
            <w:r w:rsidRPr="00C2646C">
              <w:rPr>
                <w:lang w:val="en-GB"/>
              </w:rPr>
              <w:t>&lt;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601C2" w:rsidRPr="00C2646C" w:rsidRDefault="00A601C2" w:rsidP="00C2646C">
            <w:pPr>
              <w:jc w:val="center"/>
              <w:rPr>
                <w:lang w:val="en-GB"/>
              </w:rPr>
            </w:pPr>
            <w:r w:rsidRPr="00C2646C">
              <w:rPr>
                <w:lang w:val="en-GB"/>
              </w:rPr>
              <w:t>PV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601C2" w:rsidRPr="00C2646C" w:rsidRDefault="00A601C2" w:rsidP="00C2646C">
            <w:pPr>
              <w:jc w:val="center"/>
              <w:rPr>
                <w:lang w:val="en-GB"/>
              </w:rPr>
            </w:pPr>
            <w:r w:rsidRPr="00C2646C">
              <w:rPr>
                <w:lang w:val="en-GB"/>
              </w:rPr>
              <w:t>≤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601C2" w:rsidRPr="00C2646C" w:rsidRDefault="00A601C2" w:rsidP="00C2646C">
            <w:pPr>
              <w:jc w:val="center"/>
              <w:rPr>
                <w:lang w:val="en-GB"/>
              </w:rPr>
            </w:pPr>
            <w:r w:rsidRPr="00C2646C">
              <w:rPr>
                <w:lang w:val="en-GB"/>
              </w:rPr>
              <w:t>4,8</w:t>
            </w:r>
          </w:p>
        </w:tc>
        <w:tc>
          <w:tcPr>
            <w:tcW w:w="1665" w:type="dxa"/>
            <w:shd w:val="clear" w:color="auto" w:fill="auto"/>
            <w:noWrap/>
            <w:hideMark/>
          </w:tcPr>
          <w:p w:rsidR="00A601C2" w:rsidRPr="00C2646C" w:rsidRDefault="00A601C2" w:rsidP="00C2646C">
            <w:pPr>
              <w:jc w:val="center"/>
              <w:rPr>
                <w:lang w:val="en-GB"/>
              </w:rPr>
            </w:pPr>
            <w:r w:rsidRPr="00C2646C">
              <w:rPr>
                <w:lang w:val="en-GB"/>
              </w:rPr>
              <w:t>6</w:t>
            </w:r>
          </w:p>
        </w:tc>
      </w:tr>
      <w:tr w:rsidR="00F4350E" w:rsidRPr="00C2646C" w:rsidTr="00C2646C">
        <w:trPr>
          <w:trHeight w:val="151"/>
        </w:trPr>
        <w:tc>
          <w:tcPr>
            <w:tcW w:w="581" w:type="dxa"/>
            <w:tcBorders>
              <w:right w:val="nil"/>
            </w:tcBorders>
            <w:shd w:val="clear" w:color="auto" w:fill="auto"/>
          </w:tcPr>
          <w:p w:rsidR="00A601C2" w:rsidRPr="00C2646C" w:rsidRDefault="00A601C2" w:rsidP="00C2646C">
            <w:pPr>
              <w:jc w:val="center"/>
              <w:rPr>
                <w:lang w:val="en-GB"/>
              </w:rPr>
            </w:pPr>
            <w:r w:rsidRPr="00C2646C">
              <w:rPr>
                <w:lang w:val="en-GB"/>
              </w:rPr>
              <w:t>4,8</w:t>
            </w:r>
          </w:p>
        </w:tc>
        <w:tc>
          <w:tcPr>
            <w:tcW w:w="3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601C2" w:rsidRPr="00C2646C" w:rsidRDefault="00A601C2" w:rsidP="00C2646C">
            <w:pPr>
              <w:jc w:val="center"/>
              <w:rPr>
                <w:lang w:val="en-GB"/>
              </w:rPr>
            </w:pPr>
            <w:r w:rsidRPr="00C2646C">
              <w:rPr>
                <w:lang w:val="en-GB"/>
              </w:rPr>
              <w:t>&lt;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601C2" w:rsidRPr="00C2646C" w:rsidRDefault="00A601C2" w:rsidP="00C2646C">
            <w:pPr>
              <w:jc w:val="center"/>
              <w:rPr>
                <w:lang w:val="en-GB"/>
              </w:rPr>
            </w:pPr>
            <w:r w:rsidRPr="00C2646C">
              <w:rPr>
                <w:lang w:val="en-GB"/>
              </w:rPr>
              <w:t>PV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601C2" w:rsidRPr="00C2646C" w:rsidRDefault="00A601C2" w:rsidP="00C2646C">
            <w:pPr>
              <w:jc w:val="center"/>
              <w:rPr>
                <w:lang w:val="en-GB"/>
              </w:rPr>
            </w:pPr>
            <w:r w:rsidRPr="00C2646C">
              <w:rPr>
                <w:lang w:val="en-GB"/>
              </w:rPr>
              <w:t>≤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601C2" w:rsidRPr="00C2646C" w:rsidRDefault="00A601C2" w:rsidP="00C2646C">
            <w:pPr>
              <w:jc w:val="center"/>
              <w:rPr>
                <w:lang w:val="en-GB"/>
              </w:rPr>
            </w:pPr>
            <w:r w:rsidRPr="00C2646C">
              <w:rPr>
                <w:lang w:val="en-GB"/>
              </w:rPr>
              <w:t>5</w:t>
            </w:r>
          </w:p>
        </w:tc>
        <w:tc>
          <w:tcPr>
            <w:tcW w:w="1665" w:type="dxa"/>
            <w:shd w:val="clear" w:color="auto" w:fill="auto"/>
            <w:noWrap/>
            <w:hideMark/>
          </w:tcPr>
          <w:p w:rsidR="00A601C2" w:rsidRPr="00C2646C" w:rsidRDefault="00A601C2" w:rsidP="00C2646C">
            <w:pPr>
              <w:jc w:val="center"/>
              <w:rPr>
                <w:lang w:val="en-GB"/>
              </w:rPr>
            </w:pPr>
            <w:r w:rsidRPr="00C2646C">
              <w:rPr>
                <w:lang w:val="en-GB"/>
              </w:rPr>
              <w:t>5</w:t>
            </w:r>
          </w:p>
        </w:tc>
      </w:tr>
      <w:tr w:rsidR="00F4350E" w:rsidRPr="00C2646C" w:rsidTr="00C2646C">
        <w:trPr>
          <w:trHeight w:val="151"/>
        </w:trPr>
        <w:tc>
          <w:tcPr>
            <w:tcW w:w="581" w:type="dxa"/>
            <w:tcBorders>
              <w:right w:val="nil"/>
            </w:tcBorders>
            <w:shd w:val="clear" w:color="auto" w:fill="auto"/>
          </w:tcPr>
          <w:p w:rsidR="00A601C2" w:rsidRPr="00C2646C" w:rsidRDefault="00A601C2" w:rsidP="00C2646C">
            <w:pPr>
              <w:jc w:val="center"/>
              <w:rPr>
                <w:lang w:val="en-GB"/>
              </w:rPr>
            </w:pPr>
            <w:r w:rsidRPr="00C2646C">
              <w:rPr>
                <w:lang w:val="en-GB"/>
              </w:rPr>
              <w:t>5</w:t>
            </w:r>
          </w:p>
        </w:tc>
        <w:tc>
          <w:tcPr>
            <w:tcW w:w="3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601C2" w:rsidRPr="00C2646C" w:rsidRDefault="00A601C2" w:rsidP="00C2646C">
            <w:pPr>
              <w:jc w:val="center"/>
              <w:rPr>
                <w:lang w:val="en-GB"/>
              </w:rPr>
            </w:pPr>
            <w:r w:rsidRPr="00C2646C">
              <w:rPr>
                <w:lang w:val="en-GB"/>
              </w:rPr>
              <w:t>&lt;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601C2" w:rsidRPr="00C2646C" w:rsidRDefault="00A601C2" w:rsidP="00C2646C">
            <w:pPr>
              <w:jc w:val="center"/>
              <w:rPr>
                <w:lang w:val="en-GB"/>
              </w:rPr>
            </w:pPr>
            <w:r w:rsidRPr="00C2646C">
              <w:rPr>
                <w:lang w:val="en-GB"/>
              </w:rPr>
              <w:t>PV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601C2" w:rsidRPr="00C2646C" w:rsidRDefault="00A601C2" w:rsidP="00C2646C">
            <w:pPr>
              <w:jc w:val="center"/>
              <w:rPr>
                <w:lang w:val="en-GB"/>
              </w:rPr>
            </w:pPr>
            <w:r w:rsidRPr="00C2646C">
              <w:rPr>
                <w:lang w:val="en-GB"/>
              </w:rPr>
              <w:t>≤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601C2" w:rsidRPr="00C2646C" w:rsidRDefault="00A601C2" w:rsidP="00C2646C">
            <w:pPr>
              <w:jc w:val="center"/>
              <w:rPr>
                <w:lang w:val="en-GB"/>
              </w:rPr>
            </w:pPr>
            <w:r w:rsidRPr="00C2646C">
              <w:rPr>
                <w:lang w:val="en-GB"/>
              </w:rPr>
              <w:t>6</w:t>
            </w:r>
          </w:p>
        </w:tc>
        <w:tc>
          <w:tcPr>
            <w:tcW w:w="1665" w:type="dxa"/>
            <w:shd w:val="clear" w:color="auto" w:fill="auto"/>
            <w:noWrap/>
            <w:hideMark/>
          </w:tcPr>
          <w:p w:rsidR="00A601C2" w:rsidRPr="00C2646C" w:rsidRDefault="00A601C2" w:rsidP="00C2646C">
            <w:pPr>
              <w:jc w:val="center"/>
              <w:rPr>
                <w:lang w:val="en-GB"/>
              </w:rPr>
            </w:pPr>
            <w:r w:rsidRPr="00C2646C">
              <w:rPr>
                <w:lang w:val="en-GB"/>
              </w:rPr>
              <w:t>7,5</w:t>
            </w:r>
          </w:p>
        </w:tc>
      </w:tr>
      <w:tr w:rsidR="00F4350E" w:rsidRPr="00C2646C" w:rsidTr="00C2646C">
        <w:trPr>
          <w:trHeight w:val="151"/>
        </w:trPr>
        <w:tc>
          <w:tcPr>
            <w:tcW w:w="581" w:type="dxa"/>
            <w:tcBorders>
              <w:right w:val="nil"/>
            </w:tcBorders>
            <w:shd w:val="clear" w:color="auto" w:fill="auto"/>
          </w:tcPr>
          <w:p w:rsidR="00A601C2" w:rsidRPr="00C2646C" w:rsidRDefault="00A601C2" w:rsidP="00C2646C">
            <w:pPr>
              <w:jc w:val="center"/>
              <w:rPr>
                <w:lang w:val="en-GB"/>
              </w:rPr>
            </w:pPr>
            <w:r w:rsidRPr="00C2646C">
              <w:rPr>
                <w:lang w:val="en-GB"/>
              </w:rPr>
              <w:t>6</w:t>
            </w:r>
          </w:p>
        </w:tc>
        <w:tc>
          <w:tcPr>
            <w:tcW w:w="3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601C2" w:rsidRPr="00C2646C" w:rsidRDefault="00A601C2" w:rsidP="00C2646C">
            <w:pPr>
              <w:jc w:val="center"/>
              <w:rPr>
                <w:lang w:val="en-GB"/>
              </w:rPr>
            </w:pPr>
            <w:r w:rsidRPr="00C2646C">
              <w:rPr>
                <w:lang w:val="en-GB"/>
              </w:rPr>
              <w:t>&lt;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601C2" w:rsidRPr="00C2646C" w:rsidRDefault="00A601C2" w:rsidP="00C2646C">
            <w:pPr>
              <w:jc w:val="center"/>
              <w:rPr>
                <w:lang w:val="en-GB"/>
              </w:rPr>
            </w:pPr>
            <w:r w:rsidRPr="00C2646C">
              <w:rPr>
                <w:lang w:val="en-GB"/>
              </w:rPr>
              <w:t>PV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601C2" w:rsidRPr="00C2646C" w:rsidRDefault="00A601C2" w:rsidP="00C2646C">
            <w:pPr>
              <w:jc w:val="center"/>
              <w:rPr>
                <w:lang w:val="en-GB"/>
              </w:rPr>
            </w:pPr>
            <w:r w:rsidRPr="00C2646C">
              <w:rPr>
                <w:lang w:val="en-GB"/>
              </w:rPr>
              <w:t>≤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601C2" w:rsidRPr="00C2646C" w:rsidRDefault="00A601C2" w:rsidP="00C2646C">
            <w:pPr>
              <w:jc w:val="center"/>
              <w:rPr>
                <w:lang w:val="en-GB"/>
              </w:rPr>
            </w:pPr>
            <w:r w:rsidRPr="00C2646C">
              <w:rPr>
                <w:lang w:val="en-GB"/>
              </w:rPr>
              <w:t>7,2</w:t>
            </w:r>
          </w:p>
        </w:tc>
        <w:tc>
          <w:tcPr>
            <w:tcW w:w="1665" w:type="dxa"/>
            <w:shd w:val="clear" w:color="auto" w:fill="auto"/>
            <w:noWrap/>
            <w:hideMark/>
          </w:tcPr>
          <w:p w:rsidR="00A601C2" w:rsidRPr="00C2646C" w:rsidRDefault="00A601C2" w:rsidP="00C2646C">
            <w:pPr>
              <w:jc w:val="center"/>
              <w:rPr>
                <w:lang w:val="en-GB"/>
              </w:rPr>
            </w:pPr>
            <w:r w:rsidRPr="00C2646C">
              <w:rPr>
                <w:lang w:val="en-GB"/>
              </w:rPr>
              <w:t>9</w:t>
            </w:r>
          </w:p>
        </w:tc>
      </w:tr>
      <w:tr w:rsidR="00F4350E" w:rsidRPr="00C2646C" w:rsidTr="00C2646C">
        <w:trPr>
          <w:trHeight w:val="151"/>
        </w:trPr>
        <w:tc>
          <w:tcPr>
            <w:tcW w:w="581" w:type="dxa"/>
            <w:tcBorders>
              <w:right w:val="nil"/>
            </w:tcBorders>
            <w:shd w:val="clear" w:color="auto" w:fill="auto"/>
          </w:tcPr>
          <w:p w:rsidR="00A601C2" w:rsidRPr="00C2646C" w:rsidRDefault="00A601C2" w:rsidP="00C2646C">
            <w:pPr>
              <w:jc w:val="center"/>
              <w:rPr>
                <w:lang w:val="en-GB"/>
              </w:rPr>
            </w:pPr>
            <w:r w:rsidRPr="00C2646C">
              <w:rPr>
                <w:lang w:val="en-GB"/>
              </w:rPr>
              <w:t>7,2</w:t>
            </w:r>
          </w:p>
        </w:tc>
        <w:tc>
          <w:tcPr>
            <w:tcW w:w="3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601C2" w:rsidRPr="00C2646C" w:rsidRDefault="00A601C2" w:rsidP="00C2646C">
            <w:pPr>
              <w:jc w:val="center"/>
              <w:rPr>
                <w:lang w:val="en-GB"/>
              </w:rPr>
            </w:pPr>
            <w:r w:rsidRPr="00C2646C">
              <w:rPr>
                <w:lang w:val="en-GB"/>
              </w:rPr>
              <w:t>&lt;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601C2" w:rsidRPr="00C2646C" w:rsidRDefault="00A601C2" w:rsidP="00C2646C">
            <w:pPr>
              <w:jc w:val="center"/>
              <w:rPr>
                <w:lang w:val="en-GB"/>
              </w:rPr>
            </w:pPr>
            <w:r w:rsidRPr="00C2646C">
              <w:rPr>
                <w:lang w:val="en-GB"/>
              </w:rPr>
              <w:t>PV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601C2" w:rsidRPr="00C2646C" w:rsidRDefault="00A601C2" w:rsidP="00C2646C">
            <w:pPr>
              <w:jc w:val="center"/>
              <w:rPr>
                <w:lang w:val="en-GB"/>
              </w:rPr>
            </w:pPr>
            <w:r w:rsidRPr="00C2646C">
              <w:rPr>
                <w:lang w:val="en-GB"/>
              </w:rPr>
              <w:t>≤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601C2" w:rsidRPr="00C2646C" w:rsidRDefault="00A601C2" w:rsidP="00C2646C">
            <w:pPr>
              <w:jc w:val="center"/>
              <w:rPr>
                <w:lang w:val="en-GB"/>
              </w:rPr>
            </w:pPr>
            <w:r w:rsidRPr="00C2646C">
              <w:rPr>
                <w:lang w:val="en-GB"/>
              </w:rPr>
              <w:t>8,4</w:t>
            </w:r>
          </w:p>
        </w:tc>
        <w:tc>
          <w:tcPr>
            <w:tcW w:w="1665" w:type="dxa"/>
            <w:shd w:val="clear" w:color="auto" w:fill="auto"/>
            <w:noWrap/>
            <w:hideMark/>
          </w:tcPr>
          <w:p w:rsidR="00A601C2" w:rsidRPr="00C2646C" w:rsidRDefault="00A601C2" w:rsidP="00C2646C">
            <w:pPr>
              <w:jc w:val="center"/>
              <w:rPr>
                <w:lang w:val="en-GB"/>
              </w:rPr>
            </w:pPr>
            <w:r w:rsidRPr="00C2646C">
              <w:rPr>
                <w:lang w:val="en-GB"/>
              </w:rPr>
              <w:t>10,5</w:t>
            </w:r>
          </w:p>
        </w:tc>
      </w:tr>
      <w:tr w:rsidR="00F4350E" w:rsidRPr="00C2646C" w:rsidTr="00C2646C">
        <w:trPr>
          <w:trHeight w:val="151"/>
        </w:trPr>
        <w:tc>
          <w:tcPr>
            <w:tcW w:w="581" w:type="dxa"/>
            <w:tcBorders>
              <w:right w:val="nil"/>
            </w:tcBorders>
            <w:shd w:val="clear" w:color="auto" w:fill="auto"/>
          </w:tcPr>
          <w:p w:rsidR="00A601C2" w:rsidRPr="00C2646C" w:rsidRDefault="00A601C2" w:rsidP="00C2646C">
            <w:pPr>
              <w:jc w:val="center"/>
              <w:rPr>
                <w:lang w:val="en-GB"/>
              </w:rPr>
            </w:pPr>
            <w:r w:rsidRPr="00C2646C">
              <w:rPr>
                <w:lang w:val="en-GB"/>
              </w:rPr>
              <w:t>8,4</w:t>
            </w:r>
          </w:p>
        </w:tc>
        <w:tc>
          <w:tcPr>
            <w:tcW w:w="3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601C2" w:rsidRPr="00C2646C" w:rsidRDefault="00A601C2" w:rsidP="00C2646C">
            <w:pPr>
              <w:jc w:val="center"/>
              <w:rPr>
                <w:lang w:val="en-GB"/>
              </w:rPr>
            </w:pPr>
            <w:r w:rsidRPr="00C2646C">
              <w:rPr>
                <w:lang w:val="en-GB"/>
              </w:rPr>
              <w:t>&lt;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601C2" w:rsidRPr="00C2646C" w:rsidRDefault="00A601C2" w:rsidP="00C2646C">
            <w:pPr>
              <w:jc w:val="center"/>
              <w:rPr>
                <w:lang w:val="en-GB"/>
              </w:rPr>
            </w:pPr>
            <w:r w:rsidRPr="00C2646C">
              <w:rPr>
                <w:lang w:val="en-GB"/>
              </w:rPr>
              <w:t>PV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601C2" w:rsidRPr="00C2646C" w:rsidRDefault="00A601C2" w:rsidP="00C2646C">
            <w:pPr>
              <w:jc w:val="center"/>
              <w:rPr>
                <w:lang w:val="en-GB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601C2" w:rsidRPr="00C2646C" w:rsidRDefault="00A601C2" w:rsidP="00C2646C">
            <w:pPr>
              <w:jc w:val="center"/>
              <w:rPr>
                <w:lang w:val="en-GB"/>
              </w:rPr>
            </w:pPr>
          </w:p>
        </w:tc>
        <w:tc>
          <w:tcPr>
            <w:tcW w:w="1665" w:type="dxa"/>
            <w:shd w:val="clear" w:color="auto" w:fill="auto"/>
            <w:noWrap/>
            <w:hideMark/>
          </w:tcPr>
          <w:p w:rsidR="00A601C2" w:rsidRPr="00C2646C" w:rsidRDefault="00A601C2" w:rsidP="00C2646C">
            <w:pPr>
              <w:jc w:val="center"/>
              <w:rPr>
                <w:lang w:val="en-GB"/>
              </w:rPr>
            </w:pPr>
            <w:r w:rsidRPr="00C2646C">
              <w:rPr>
                <w:lang w:val="en-GB"/>
              </w:rPr>
              <w:t>12</w:t>
            </w:r>
          </w:p>
        </w:tc>
      </w:tr>
    </w:tbl>
    <w:p w:rsidR="000411CB" w:rsidRPr="000411CB" w:rsidRDefault="000411CB" w:rsidP="000411CB">
      <w:pPr>
        <w:pStyle w:val="Abbildungsbeschriftung"/>
        <w:jc w:val="right"/>
        <w:rPr>
          <w:lang w:val="en-GB"/>
        </w:rPr>
      </w:pPr>
      <w:r w:rsidRPr="000411CB">
        <w:rPr>
          <w:lang w:val="en-GB"/>
        </w:rPr>
        <w:t>Table 2 Load shifting potential of</w:t>
      </w:r>
    </w:p>
    <w:p w:rsidR="000411CB" w:rsidRPr="000411CB" w:rsidRDefault="000411CB" w:rsidP="000411CB">
      <w:pPr>
        <w:pStyle w:val="Abbildungsbeschriftung"/>
        <w:jc w:val="right"/>
        <w:rPr>
          <w:lang w:val="en-GB"/>
        </w:rPr>
      </w:pPr>
      <w:r w:rsidRPr="000411CB">
        <w:rPr>
          <w:lang w:val="en-GB"/>
        </w:rPr>
        <w:t xml:space="preserve"> flexible loads (de Bruyn et al., 2014)</w:t>
      </w:r>
    </w:p>
    <w:tbl>
      <w:tblPr>
        <w:tblpPr w:leftFromText="141" w:rightFromText="141" w:vertAnchor="text" w:tblpXSpec="right" w:tblpY="1"/>
        <w:tblOverlap w:val="never"/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1"/>
        <w:gridCol w:w="2351"/>
        <w:tblGridChange w:id="3">
          <w:tblGrid>
            <w:gridCol w:w="1841"/>
            <w:gridCol w:w="2351"/>
          </w:tblGrid>
        </w:tblGridChange>
      </w:tblGrid>
      <w:tr w:rsidR="000411CB" w:rsidRPr="00C2646C" w:rsidTr="00C2646C">
        <w:trPr>
          <w:trHeight w:val="248"/>
          <w:jc w:val="right"/>
        </w:trPr>
        <w:tc>
          <w:tcPr>
            <w:tcW w:w="1841" w:type="dxa"/>
            <w:shd w:val="clear" w:color="auto" w:fill="auto"/>
          </w:tcPr>
          <w:p w:rsidR="000411CB" w:rsidRPr="00C2646C" w:rsidRDefault="000411CB" w:rsidP="00C2646C">
            <w:pPr>
              <w:rPr>
                <w:b/>
                <w:lang w:val="en-GB"/>
              </w:rPr>
            </w:pPr>
            <w:r w:rsidRPr="00C2646C">
              <w:rPr>
                <w:b/>
                <w:lang w:val="en-GB"/>
              </w:rPr>
              <w:t>Flexible load</w:t>
            </w:r>
          </w:p>
        </w:tc>
        <w:tc>
          <w:tcPr>
            <w:tcW w:w="2351" w:type="dxa"/>
            <w:shd w:val="clear" w:color="auto" w:fill="auto"/>
            <w:vAlign w:val="center"/>
          </w:tcPr>
          <w:p w:rsidR="000411CB" w:rsidRPr="00C2646C" w:rsidRDefault="000411CB" w:rsidP="00C2646C">
            <w:pPr>
              <w:rPr>
                <w:b/>
                <w:lang w:val="en-GB"/>
              </w:rPr>
            </w:pPr>
            <w:r w:rsidRPr="00C2646C">
              <w:rPr>
                <w:b/>
                <w:lang w:val="en-GB"/>
              </w:rPr>
              <w:t>Shifting potential (h)</w:t>
            </w:r>
          </w:p>
        </w:tc>
      </w:tr>
      <w:tr w:rsidR="000411CB" w:rsidRPr="00C2646C" w:rsidTr="00C2646C">
        <w:trPr>
          <w:trHeight w:val="258"/>
          <w:jc w:val="right"/>
        </w:trPr>
        <w:tc>
          <w:tcPr>
            <w:tcW w:w="1841" w:type="dxa"/>
            <w:shd w:val="clear" w:color="auto" w:fill="auto"/>
          </w:tcPr>
          <w:p w:rsidR="000411CB" w:rsidRPr="00C2646C" w:rsidRDefault="000411CB" w:rsidP="00C2646C">
            <w:pPr>
              <w:rPr>
                <w:lang w:val="en-GB"/>
              </w:rPr>
            </w:pPr>
            <w:r w:rsidRPr="00C2646C">
              <w:rPr>
                <w:lang w:val="en-GB"/>
              </w:rPr>
              <w:t>Refrigerator</w:t>
            </w:r>
          </w:p>
        </w:tc>
        <w:tc>
          <w:tcPr>
            <w:tcW w:w="2351" w:type="dxa"/>
            <w:shd w:val="clear" w:color="auto" w:fill="auto"/>
            <w:vAlign w:val="center"/>
          </w:tcPr>
          <w:p w:rsidR="000411CB" w:rsidRPr="00C2646C" w:rsidRDefault="000411CB" w:rsidP="00C2646C">
            <w:pPr>
              <w:jc w:val="center"/>
              <w:rPr>
                <w:lang w:val="en-GB"/>
              </w:rPr>
            </w:pPr>
            <w:r w:rsidRPr="00C2646C">
              <w:rPr>
                <w:lang w:val="en-GB"/>
              </w:rPr>
              <w:t>1</w:t>
            </w:r>
          </w:p>
        </w:tc>
      </w:tr>
      <w:tr w:rsidR="000411CB" w:rsidRPr="00C2646C" w:rsidTr="00C2646C">
        <w:trPr>
          <w:trHeight w:val="248"/>
          <w:jc w:val="right"/>
        </w:trPr>
        <w:tc>
          <w:tcPr>
            <w:tcW w:w="1841" w:type="dxa"/>
            <w:shd w:val="clear" w:color="auto" w:fill="auto"/>
          </w:tcPr>
          <w:p w:rsidR="000411CB" w:rsidRPr="00C2646C" w:rsidRDefault="000411CB" w:rsidP="00C2646C">
            <w:pPr>
              <w:rPr>
                <w:lang w:val="en-GB"/>
              </w:rPr>
            </w:pPr>
            <w:r w:rsidRPr="00C2646C">
              <w:rPr>
                <w:lang w:val="en-GB"/>
              </w:rPr>
              <w:t>Freezer</w:t>
            </w:r>
          </w:p>
        </w:tc>
        <w:tc>
          <w:tcPr>
            <w:tcW w:w="2351" w:type="dxa"/>
            <w:shd w:val="clear" w:color="auto" w:fill="auto"/>
            <w:vAlign w:val="center"/>
          </w:tcPr>
          <w:p w:rsidR="000411CB" w:rsidRPr="00C2646C" w:rsidRDefault="000411CB" w:rsidP="00C2646C">
            <w:pPr>
              <w:jc w:val="center"/>
              <w:rPr>
                <w:lang w:val="en-GB"/>
              </w:rPr>
            </w:pPr>
            <w:r w:rsidRPr="00C2646C">
              <w:rPr>
                <w:lang w:val="en-GB"/>
              </w:rPr>
              <w:t>4</w:t>
            </w:r>
          </w:p>
        </w:tc>
      </w:tr>
      <w:tr w:rsidR="000411CB" w:rsidRPr="00C2646C" w:rsidTr="00C2646C">
        <w:trPr>
          <w:trHeight w:val="248"/>
          <w:jc w:val="right"/>
        </w:trPr>
        <w:tc>
          <w:tcPr>
            <w:tcW w:w="1841" w:type="dxa"/>
            <w:shd w:val="clear" w:color="auto" w:fill="auto"/>
          </w:tcPr>
          <w:p w:rsidR="000411CB" w:rsidRPr="00C2646C" w:rsidRDefault="000411CB" w:rsidP="00C2646C">
            <w:pPr>
              <w:rPr>
                <w:lang w:val="en-GB"/>
              </w:rPr>
            </w:pPr>
            <w:r w:rsidRPr="00C2646C">
              <w:rPr>
                <w:lang w:val="en-GB"/>
              </w:rPr>
              <w:t>Hot water boiler</w:t>
            </w:r>
          </w:p>
        </w:tc>
        <w:tc>
          <w:tcPr>
            <w:tcW w:w="2351" w:type="dxa"/>
            <w:shd w:val="clear" w:color="auto" w:fill="auto"/>
            <w:vAlign w:val="center"/>
          </w:tcPr>
          <w:p w:rsidR="000411CB" w:rsidRPr="00C2646C" w:rsidRDefault="000411CB" w:rsidP="00C2646C">
            <w:pPr>
              <w:jc w:val="center"/>
              <w:rPr>
                <w:lang w:val="en-GB"/>
              </w:rPr>
            </w:pPr>
            <w:r w:rsidRPr="00C2646C">
              <w:rPr>
                <w:lang w:val="en-GB"/>
              </w:rPr>
              <w:t>12</w:t>
            </w:r>
          </w:p>
        </w:tc>
      </w:tr>
      <w:tr w:rsidR="000411CB" w:rsidRPr="00C2646C" w:rsidTr="00C2646C">
        <w:trPr>
          <w:trHeight w:val="248"/>
          <w:jc w:val="right"/>
        </w:trPr>
        <w:tc>
          <w:tcPr>
            <w:tcW w:w="1841" w:type="dxa"/>
            <w:shd w:val="clear" w:color="auto" w:fill="auto"/>
          </w:tcPr>
          <w:p w:rsidR="000411CB" w:rsidRPr="00C2646C" w:rsidRDefault="000411CB" w:rsidP="00C2646C">
            <w:pPr>
              <w:rPr>
                <w:lang w:val="en-GB"/>
              </w:rPr>
            </w:pPr>
            <w:r w:rsidRPr="00C2646C">
              <w:rPr>
                <w:lang w:val="en-GB"/>
              </w:rPr>
              <w:t>Electric radiator</w:t>
            </w:r>
          </w:p>
        </w:tc>
        <w:tc>
          <w:tcPr>
            <w:tcW w:w="2351" w:type="dxa"/>
            <w:shd w:val="clear" w:color="auto" w:fill="auto"/>
            <w:vAlign w:val="center"/>
          </w:tcPr>
          <w:p w:rsidR="000411CB" w:rsidRPr="00C2646C" w:rsidRDefault="000411CB" w:rsidP="00C2646C">
            <w:pPr>
              <w:jc w:val="center"/>
              <w:rPr>
                <w:lang w:val="en-GB"/>
              </w:rPr>
            </w:pPr>
            <w:r w:rsidRPr="00C2646C">
              <w:rPr>
                <w:lang w:val="en-GB"/>
              </w:rPr>
              <w:t>1</w:t>
            </w:r>
          </w:p>
        </w:tc>
      </w:tr>
      <w:tr w:rsidR="000411CB" w:rsidRPr="00C2646C" w:rsidTr="00C2646C">
        <w:trPr>
          <w:trHeight w:val="258"/>
          <w:jc w:val="right"/>
        </w:trPr>
        <w:tc>
          <w:tcPr>
            <w:tcW w:w="1841" w:type="dxa"/>
            <w:shd w:val="clear" w:color="auto" w:fill="auto"/>
          </w:tcPr>
          <w:p w:rsidR="000411CB" w:rsidRPr="00C2646C" w:rsidRDefault="000411CB" w:rsidP="00C2646C">
            <w:pPr>
              <w:rPr>
                <w:lang w:val="en-GB"/>
              </w:rPr>
            </w:pPr>
            <w:r w:rsidRPr="00C2646C">
              <w:rPr>
                <w:lang w:val="en-GB"/>
              </w:rPr>
              <w:t>Heat pump</w:t>
            </w:r>
          </w:p>
        </w:tc>
        <w:tc>
          <w:tcPr>
            <w:tcW w:w="2351" w:type="dxa"/>
            <w:shd w:val="clear" w:color="auto" w:fill="auto"/>
            <w:vAlign w:val="center"/>
          </w:tcPr>
          <w:p w:rsidR="000411CB" w:rsidRPr="00C2646C" w:rsidRDefault="000411CB" w:rsidP="00C2646C">
            <w:pPr>
              <w:jc w:val="center"/>
              <w:rPr>
                <w:lang w:val="en-GB"/>
              </w:rPr>
            </w:pPr>
            <w:r w:rsidRPr="00C2646C">
              <w:rPr>
                <w:lang w:val="en-GB"/>
              </w:rPr>
              <w:t>1</w:t>
            </w:r>
          </w:p>
        </w:tc>
      </w:tr>
    </w:tbl>
    <w:p w:rsidR="00ED0AED" w:rsidRPr="000411CB" w:rsidRDefault="00ED0AED" w:rsidP="00D422E0">
      <w:pPr>
        <w:rPr>
          <w:lang w:val="en-GB"/>
        </w:rPr>
      </w:pPr>
    </w:p>
    <w:p w:rsidR="00A601C2" w:rsidRPr="000411CB" w:rsidRDefault="00A601C2" w:rsidP="00D422E0">
      <w:pPr>
        <w:rPr>
          <w:lang w:val="en-GB"/>
        </w:rPr>
      </w:pPr>
    </w:p>
    <w:p w:rsidR="00A601C2" w:rsidRPr="000411CB" w:rsidRDefault="00A601C2" w:rsidP="00D422E0">
      <w:pPr>
        <w:rPr>
          <w:lang w:val="en-GB"/>
        </w:rPr>
      </w:pPr>
    </w:p>
    <w:p w:rsidR="00A601C2" w:rsidRPr="000411CB" w:rsidRDefault="00A601C2" w:rsidP="00D422E0">
      <w:pPr>
        <w:rPr>
          <w:lang w:val="en-GB"/>
        </w:rPr>
      </w:pPr>
    </w:p>
    <w:p w:rsidR="00A601C2" w:rsidRPr="000411CB" w:rsidRDefault="00A601C2" w:rsidP="00D422E0">
      <w:pPr>
        <w:rPr>
          <w:lang w:val="en-GB"/>
        </w:rPr>
      </w:pPr>
    </w:p>
    <w:p w:rsidR="00A601C2" w:rsidRPr="000411CB" w:rsidRDefault="00A601C2" w:rsidP="00D422E0">
      <w:pPr>
        <w:rPr>
          <w:lang w:val="en-GB"/>
        </w:rPr>
      </w:pPr>
    </w:p>
    <w:p w:rsidR="00A601C2" w:rsidRPr="000411CB" w:rsidRDefault="00A601C2" w:rsidP="00D422E0">
      <w:pPr>
        <w:rPr>
          <w:lang w:val="en-GB"/>
        </w:rPr>
      </w:pPr>
    </w:p>
    <w:p w:rsidR="00A601C2" w:rsidRPr="000411CB" w:rsidRDefault="00A601C2" w:rsidP="00D422E0">
      <w:pPr>
        <w:rPr>
          <w:lang w:val="en-GB"/>
        </w:rPr>
      </w:pPr>
    </w:p>
    <w:p w:rsidR="00A601C2" w:rsidRPr="000411CB" w:rsidRDefault="00A601C2" w:rsidP="00D422E0">
      <w:pPr>
        <w:rPr>
          <w:lang w:val="en-GB"/>
        </w:rPr>
      </w:pPr>
    </w:p>
    <w:p w:rsidR="0097592F" w:rsidRDefault="007213C4" w:rsidP="009E2884">
      <w:pPr>
        <w:rPr>
          <w:lang w:val="en-US"/>
        </w:rPr>
      </w:pPr>
      <w:r>
        <w:rPr>
          <w:lang w:val="en-US"/>
        </w:rPr>
        <w:t>Beside the classical operation strategy of maximizing self-consumption, we analyze the effect of flexible tariffs for the prosumers. The operation strategy “minimize PV curtailment” curtails the feed-in power at 70%. In other scenarios the effect on power prizes of 40</w:t>
      </w:r>
      <w:r w:rsidR="008E423F">
        <w:rPr>
          <w:lang w:val="en-US"/>
        </w:rPr>
        <w:t xml:space="preserve"> </w:t>
      </w:r>
      <w:r>
        <w:rPr>
          <w:lang w:val="en-US"/>
        </w:rPr>
        <w:t>€</w:t>
      </w:r>
      <w:r w:rsidR="003F7642">
        <w:rPr>
          <w:lang w:val="en-US"/>
        </w:rPr>
        <w:t xml:space="preserve">/kW feed-in and procurement are observed. The strategy “sunshine bonus” gives incentives of </w:t>
      </w:r>
      <w:r w:rsidR="009E2884">
        <w:rPr>
          <w:lang w:val="en-US"/>
        </w:rPr>
        <w:t>10 cent/kWh for consuming energy times of high local PV generation.</w:t>
      </w:r>
      <w:r w:rsidR="008924E2">
        <w:rPr>
          <w:lang w:val="en-US"/>
        </w:rPr>
        <w:t xml:space="preserve"> </w:t>
      </w:r>
    </w:p>
    <w:p w:rsidR="008724BB" w:rsidRPr="00D422E0" w:rsidRDefault="008724BB" w:rsidP="00D422E0">
      <w:pPr>
        <w:rPr>
          <w:lang w:val="en-US"/>
        </w:rPr>
      </w:pPr>
    </w:p>
    <w:p w:rsidR="008724BB" w:rsidRDefault="008724BB" w:rsidP="00227125">
      <w:pPr>
        <w:rPr>
          <w:b/>
          <w:spacing w:val="-5"/>
          <w:sz w:val="22"/>
          <w:lang w:eastAsia="de-DE"/>
        </w:rPr>
      </w:pPr>
      <w:r w:rsidRPr="008724BB">
        <w:rPr>
          <w:b/>
          <w:spacing w:val="-5"/>
          <w:sz w:val="22"/>
          <w:lang w:eastAsia="de-DE"/>
        </w:rPr>
        <w:t>Results and conclusions</w:t>
      </w:r>
    </w:p>
    <w:p w:rsidR="008724BB" w:rsidRDefault="008724BB" w:rsidP="00227125">
      <w:pPr>
        <w:rPr>
          <w:b/>
          <w:spacing w:val="-5"/>
          <w:sz w:val="22"/>
          <w:lang w:eastAsia="de-DE"/>
        </w:rPr>
      </w:pPr>
    </w:p>
    <w:p w:rsidR="00921C85" w:rsidRPr="009710D9" w:rsidRDefault="00921C85" w:rsidP="00921C85">
      <w:pPr>
        <w:rPr>
          <w:lang w:val="en-US"/>
        </w:rPr>
      </w:pPr>
      <w:r w:rsidRPr="008724BB">
        <w:rPr>
          <w:lang w:val="en-US"/>
        </w:rPr>
        <w:t xml:space="preserve">Without optimization </w:t>
      </w:r>
      <w:r>
        <w:rPr>
          <w:lang w:val="en-US"/>
        </w:rPr>
        <w:t>of flexible loads and BESS</w:t>
      </w:r>
      <w:r w:rsidRPr="008724BB">
        <w:rPr>
          <w:lang w:val="en-US"/>
        </w:rPr>
        <w:t xml:space="preserve">, </w:t>
      </w:r>
      <w:r>
        <w:rPr>
          <w:lang w:val="en-US"/>
        </w:rPr>
        <w:t>the share of self-consumption (PV direct use in Figure 1) of</w:t>
      </w:r>
      <w:r w:rsidRPr="008724BB">
        <w:rPr>
          <w:lang w:val="en-US"/>
        </w:rPr>
        <w:t xml:space="preserve"> PV production is </w:t>
      </w:r>
      <w:r>
        <w:rPr>
          <w:lang w:val="en-US"/>
        </w:rPr>
        <w:t>at 40%</w:t>
      </w:r>
      <w:r w:rsidRPr="008724BB">
        <w:rPr>
          <w:lang w:val="en-US"/>
        </w:rPr>
        <w:t>. By inc</w:t>
      </w:r>
      <w:r>
        <w:rPr>
          <w:lang w:val="en-US"/>
        </w:rPr>
        <w:t>luding</w:t>
      </w:r>
      <w:r w:rsidRPr="008724BB">
        <w:rPr>
          <w:lang w:val="en-US"/>
        </w:rPr>
        <w:t xml:space="preserve"> </w:t>
      </w:r>
      <w:r>
        <w:rPr>
          <w:lang w:val="en-US"/>
        </w:rPr>
        <w:t>flexibilities</w:t>
      </w:r>
      <w:r w:rsidRPr="008724BB">
        <w:rPr>
          <w:lang w:val="en-US"/>
        </w:rPr>
        <w:t xml:space="preserve">, </w:t>
      </w:r>
      <w:r>
        <w:rPr>
          <w:lang w:val="en-US"/>
        </w:rPr>
        <w:t>the self-consumption increases by</w:t>
      </w:r>
      <w:r w:rsidRPr="008724BB">
        <w:rPr>
          <w:lang w:val="en-US"/>
        </w:rPr>
        <w:t xml:space="preserve"> </w:t>
      </w:r>
      <w:r>
        <w:rPr>
          <w:lang w:val="en-US"/>
        </w:rPr>
        <w:t xml:space="preserve">20% (PV stored in Figure 1). </w:t>
      </w:r>
      <w:r w:rsidRPr="008724BB">
        <w:rPr>
          <w:lang w:val="en-US"/>
        </w:rPr>
        <w:t>The flexible loads</w:t>
      </w:r>
      <w:r>
        <w:rPr>
          <w:lang w:val="en-US"/>
        </w:rPr>
        <w:t xml:space="preserve"> (Figure 2)</w:t>
      </w:r>
      <w:r w:rsidRPr="008724BB">
        <w:rPr>
          <w:lang w:val="en-US"/>
        </w:rPr>
        <w:t xml:space="preserve"> increase </w:t>
      </w:r>
      <w:r>
        <w:rPr>
          <w:lang w:val="en-US"/>
        </w:rPr>
        <w:t>the</w:t>
      </w:r>
      <w:r w:rsidRPr="008724BB">
        <w:rPr>
          <w:lang w:val="en-US"/>
        </w:rPr>
        <w:t xml:space="preserve"> share </w:t>
      </w:r>
      <w:r>
        <w:rPr>
          <w:lang w:val="en-US"/>
        </w:rPr>
        <w:t xml:space="preserve">of self-consumption </w:t>
      </w:r>
      <w:r w:rsidRPr="008724BB">
        <w:rPr>
          <w:lang w:val="en-US"/>
        </w:rPr>
        <w:t xml:space="preserve">by </w:t>
      </w:r>
      <w:r>
        <w:rPr>
          <w:lang w:val="en-US"/>
        </w:rPr>
        <w:t xml:space="preserve">another </w:t>
      </w:r>
      <w:r w:rsidRPr="008724BB">
        <w:rPr>
          <w:lang w:val="en-US"/>
        </w:rPr>
        <w:t>10 percentage points</w:t>
      </w:r>
      <w:r>
        <w:rPr>
          <w:lang w:val="en-US"/>
        </w:rPr>
        <w:t>.</w:t>
      </w:r>
    </w:p>
    <w:p w:rsidR="008724BB" w:rsidRPr="008724BB" w:rsidRDefault="008724BB" w:rsidP="008724BB">
      <w:pPr>
        <w:rPr>
          <w:lang w:val="en-US"/>
        </w:rPr>
      </w:pPr>
      <w:bookmarkStart w:id="4" w:name="_GoBack"/>
      <w:bookmarkEnd w:id="4"/>
    </w:p>
    <w:p w:rsidR="00E013CD" w:rsidRPr="0063734B" w:rsidRDefault="00BD6013" w:rsidP="00E013CD">
      <w:pPr>
        <w:keepNext/>
        <w:rPr>
          <w:lang w:val="en-GB"/>
        </w:rPr>
      </w:pPr>
      <w:r>
        <w:rPr>
          <w:noProof/>
          <w:lang w:val="de-AT" w:eastAsia="de-AT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4038600" cy="3028950"/>
            <wp:effectExtent l="0" t="0" r="0" b="0"/>
            <wp:wrapSquare wrapText="bothSides"/>
            <wp:docPr id="3" name="Inhaltsplatzhalter 15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haltsplatzhalter 15"/>
                    <pic:cNvPicPr>
                      <a:picLocks noGrp="1"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8600" cy="3028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13CD" w:rsidRDefault="00E013CD" w:rsidP="00921C85">
      <w:pPr>
        <w:pStyle w:val="Abbildungsbeschriftung"/>
        <w:rPr>
          <w:lang w:val="en-GB"/>
        </w:rPr>
      </w:pPr>
      <w:bookmarkStart w:id="5" w:name="_Ref529375711"/>
      <w:r w:rsidRPr="0063734B">
        <w:rPr>
          <w:lang w:val="en-GB"/>
        </w:rPr>
        <w:t>Figure</w:t>
      </w:r>
      <w:bookmarkEnd w:id="5"/>
      <w:r>
        <w:rPr>
          <w:lang w:val="en-GB"/>
        </w:rPr>
        <w:t xml:space="preserve"> 1</w:t>
      </w:r>
      <w:r w:rsidRPr="0063734B">
        <w:rPr>
          <w:lang w:val="en-GB"/>
        </w:rPr>
        <w:t xml:space="preserve">: Total loads and total PV-production </w:t>
      </w:r>
    </w:p>
    <w:p w:rsidR="00E013CD" w:rsidRPr="0063734B" w:rsidRDefault="00E013CD" w:rsidP="00921C85">
      <w:pPr>
        <w:pStyle w:val="Abbildungsbeschriftung"/>
        <w:rPr>
          <w:lang w:val="en-GB"/>
        </w:rPr>
      </w:pPr>
      <w:r w:rsidRPr="0063734B">
        <w:rPr>
          <w:lang w:val="en-GB"/>
        </w:rPr>
        <w:t>compared to PV-consumption and PV-feed in</w:t>
      </w:r>
    </w:p>
    <w:p w:rsidR="00E013CD" w:rsidRDefault="00E013CD" w:rsidP="008724BB">
      <w:pPr>
        <w:rPr>
          <w:lang w:val="en-US"/>
        </w:rPr>
      </w:pPr>
    </w:p>
    <w:p w:rsidR="00921C85" w:rsidRPr="008724BB" w:rsidRDefault="00921C85" w:rsidP="00921C85">
      <w:pPr>
        <w:rPr>
          <w:lang w:val="en-US"/>
        </w:rPr>
      </w:pPr>
      <w:r>
        <w:rPr>
          <w:lang w:val="en-US"/>
        </w:rPr>
        <w:t>The implementation of a real-time pricing</w:t>
      </w:r>
      <w:r w:rsidRPr="008724BB">
        <w:rPr>
          <w:lang w:val="en-US"/>
        </w:rPr>
        <w:t xml:space="preserve"> tariff</w:t>
      </w:r>
      <w:r>
        <w:rPr>
          <w:lang w:val="en-US"/>
        </w:rPr>
        <w:t xml:space="preserve"> (RTP)</w:t>
      </w:r>
      <w:r w:rsidRPr="008724BB">
        <w:rPr>
          <w:lang w:val="en-US"/>
        </w:rPr>
        <w:t xml:space="preserve"> (EPEX 2016)</w:t>
      </w:r>
      <w:r>
        <w:rPr>
          <w:lang w:val="en-US"/>
        </w:rPr>
        <w:t xml:space="preserve"> leads to reduction of PV use of the storage to 60%, whereas 40% of full-load cycles are used for arbitrage.</w:t>
      </w:r>
    </w:p>
    <w:p w:rsidR="005E4D4F" w:rsidRDefault="005E4D4F" w:rsidP="00227125">
      <w:pPr>
        <w:pStyle w:val="Literatur"/>
        <w:rPr>
          <w:lang w:val="en-US"/>
        </w:rPr>
      </w:pPr>
    </w:p>
    <w:p w:rsidR="00921C85" w:rsidRDefault="00921C85" w:rsidP="00921C85">
      <w:pPr>
        <w:rPr>
          <w:lang w:val="en-US"/>
        </w:rPr>
      </w:pPr>
      <w:r>
        <w:rPr>
          <w:lang w:val="en-US"/>
        </w:rPr>
        <w:t xml:space="preserve">By applying a </w:t>
      </w:r>
      <w:r w:rsidRPr="00E465E3">
        <w:rPr>
          <w:lang w:val="en-US"/>
        </w:rPr>
        <w:t>70% feed-in limitation of PV generation, 0.8% of the annual generation is limited (without optimization or BESS measures). In comparison, a feed-in power-price price of 40 €/kWp p.a. leads to curtailment of 10 % for the total PV production. No curtailment occurs if we implement BESS</w:t>
      </w:r>
      <w:r>
        <w:rPr>
          <w:lang w:val="en-US"/>
        </w:rPr>
        <w:t>.</w:t>
      </w:r>
    </w:p>
    <w:p w:rsidR="00921C85" w:rsidRDefault="00921C85" w:rsidP="00921C85">
      <w:pPr>
        <w:rPr>
          <w:lang w:val="en-US"/>
        </w:rPr>
      </w:pPr>
    </w:p>
    <w:p w:rsidR="003E2369" w:rsidRPr="00775450" w:rsidRDefault="00BD6013" w:rsidP="003E2369">
      <w:pPr>
        <w:keepNext/>
        <w:rPr>
          <w:lang w:val="en-US"/>
        </w:rPr>
      </w:pPr>
      <w:r>
        <w:rPr>
          <w:noProof/>
          <w:lang w:val="de-AT" w:eastAsia="de-AT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right</wp:align>
            </wp:positionH>
            <wp:positionV relativeFrom="margin">
              <wp:align>center</wp:align>
            </wp:positionV>
            <wp:extent cx="4038600" cy="3028950"/>
            <wp:effectExtent l="0" t="0" r="0" b="0"/>
            <wp:wrapSquare wrapText="bothSides"/>
            <wp:docPr id="5" name="Inhaltsplatzhalter 15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haltsplatzhalter 15"/>
                    <pic:cNvPicPr>
                      <a:picLocks noGrp="1"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8600" cy="3028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E2369" w:rsidRPr="009710D9" w:rsidRDefault="003E2369" w:rsidP="003E2369">
      <w:pPr>
        <w:pStyle w:val="Abbildungsbeschriftung"/>
        <w:rPr>
          <w:lang w:val="en-US"/>
        </w:rPr>
      </w:pPr>
      <w:bookmarkStart w:id="6" w:name="_Ref529363958"/>
      <w:r w:rsidRPr="009710D9">
        <w:rPr>
          <w:lang w:val="en-US"/>
        </w:rPr>
        <w:t xml:space="preserve">Figure </w:t>
      </w:r>
      <w:r>
        <w:fldChar w:fldCharType="begin"/>
      </w:r>
      <w:r w:rsidRPr="009710D9">
        <w:rPr>
          <w:lang w:val="en-US"/>
        </w:rPr>
        <w:instrText xml:space="preserve"> SEQ Abbildung \* ARABIC </w:instrText>
      </w:r>
      <w:r>
        <w:fldChar w:fldCharType="separate"/>
      </w:r>
      <w:r>
        <w:rPr>
          <w:noProof/>
          <w:lang w:val="en-US"/>
        </w:rPr>
        <w:t>2</w:t>
      </w:r>
      <w:r>
        <w:fldChar w:fldCharType="end"/>
      </w:r>
      <w:bookmarkEnd w:id="6"/>
      <w:r w:rsidRPr="009710D9">
        <w:rPr>
          <w:lang w:val="en-US"/>
        </w:rPr>
        <w:t xml:space="preserve">: Total loads in comparison </w:t>
      </w:r>
      <w:r>
        <w:rPr>
          <w:lang w:val="en-US"/>
        </w:rPr>
        <w:t>to PV-Energy consumption by loads</w:t>
      </w:r>
    </w:p>
    <w:p w:rsidR="003E2369" w:rsidRDefault="003E2369" w:rsidP="00227125">
      <w:pPr>
        <w:pStyle w:val="Literatur"/>
        <w:rPr>
          <w:lang w:val="en-US"/>
        </w:rPr>
      </w:pPr>
    </w:p>
    <w:p w:rsidR="0046360E" w:rsidRPr="008724BB" w:rsidRDefault="0046360E" w:rsidP="0046360E">
      <w:pPr>
        <w:rPr>
          <w:lang w:val="en-US"/>
        </w:rPr>
      </w:pPr>
      <w:r w:rsidRPr="00E465E3">
        <w:rPr>
          <w:lang w:val="en-US"/>
        </w:rPr>
        <w:t>Without considering costs of BESS, storages reduce in every operation strategy the feed-in power</w:t>
      </w:r>
      <w:r>
        <w:rPr>
          <w:lang w:val="en-US"/>
        </w:rPr>
        <w:t xml:space="preserve"> and increase self-consumption</w:t>
      </w:r>
      <w:r w:rsidRPr="00E465E3">
        <w:rPr>
          <w:lang w:val="en-US"/>
        </w:rPr>
        <w:t xml:space="preserve">. </w:t>
      </w:r>
      <w:r>
        <w:rPr>
          <w:lang w:val="en-US"/>
        </w:rPr>
        <w:t xml:space="preserve">Flexible loads support self-consumption by 10 percentage points. When applying RTP, the storage is used 40 % for arbitrage. Curtailment of 70% PV-curtailment without BESS means almost no PV-losses, whereas power prices increase the curtailment to 10% in average. </w:t>
      </w:r>
    </w:p>
    <w:p w:rsidR="00E465E3" w:rsidRDefault="00E465E3" w:rsidP="00775450">
      <w:pPr>
        <w:pStyle w:val="Literatur"/>
        <w:rPr>
          <w:lang w:val="en-US"/>
        </w:rPr>
      </w:pPr>
    </w:p>
    <w:p w:rsidR="0093632E" w:rsidRDefault="0093632E" w:rsidP="0093632E">
      <w:pPr>
        <w:pStyle w:val="Heading1"/>
      </w:pPr>
      <w:r w:rsidRPr="002B2D25">
        <w:t>Litera</w:t>
      </w:r>
      <w:r>
        <w:t>ture</w:t>
      </w:r>
      <w:r w:rsidRPr="002B2D25">
        <w:t xml:space="preserve"> </w:t>
      </w:r>
    </w:p>
    <w:p w:rsidR="0093632E" w:rsidRDefault="0093632E" w:rsidP="0093632E">
      <w:pPr>
        <w:ind w:left="284" w:hanging="284"/>
        <w:rPr>
          <w:lang w:val="en-US"/>
        </w:rPr>
      </w:pPr>
      <w:r w:rsidRPr="0093632E">
        <w:rPr>
          <w:lang w:val="en-US"/>
        </w:rPr>
        <w:t>Bayer</w:t>
      </w:r>
      <w:r>
        <w:rPr>
          <w:lang w:val="en-US"/>
        </w:rPr>
        <w:t xml:space="preserve"> B., </w:t>
      </w:r>
      <w:r w:rsidRPr="0093632E">
        <w:rPr>
          <w:lang w:val="en-US"/>
        </w:rPr>
        <w:t>Matschoss</w:t>
      </w:r>
      <w:r>
        <w:rPr>
          <w:lang w:val="en-US"/>
        </w:rPr>
        <w:t xml:space="preserve"> P., </w:t>
      </w:r>
      <w:r w:rsidRPr="0093632E">
        <w:rPr>
          <w:lang w:val="en-US"/>
        </w:rPr>
        <w:t>Thomas</w:t>
      </w:r>
      <w:r>
        <w:rPr>
          <w:lang w:val="en-US"/>
        </w:rPr>
        <w:t xml:space="preserve"> H., </w:t>
      </w:r>
      <w:r w:rsidRPr="0093632E">
        <w:rPr>
          <w:lang w:val="en-US"/>
        </w:rPr>
        <w:t>Marian</w:t>
      </w:r>
      <w:r>
        <w:rPr>
          <w:lang w:val="en-US"/>
        </w:rPr>
        <w:t xml:space="preserve"> A., 2018, </w:t>
      </w:r>
      <w:r w:rsidRPr="0093632E">
        <w:rPr>
          <w:lang w:val="en-US"/>
        </w:rPr>
        <w:t>The German experience with integrating photovoltaic systems into the low-voltage grids</w:t>
      </w:r>
      <w:r>
        <w:rPr>
          <w:lang w:val="en-US"/>
        </w:rPr>
        <w:t>, Elsevier Renewable Energy 119, 129-141</w:t>
      </w:r>
    </w:p>
    <w:p w:rsidR="00F314D6" w:rsidRDefault="00F314D6" w:rsidP="0093632E">
      <w:pPr>
        <w:ind w:left="284" w:hanging="284"/>
        <w:rPr>
          <w:lang w:val="en-US"/>
        </w:rPr>
      </w:pPr>
      <w:r>
        <w:rPr>
          <w:lang w:val="en-US"/>
        </w:rPr>
        <w:t>Zeilinger F.</w:t>
      </w:r>
      <w:r w:rsidR="00641AE8">
        <w:rPr>
          <w:lang w:val="en-US"/>
        </w:rPr>
        <w:t>, Schwalbe R.</w:t>
      </w:r>
      <w:r w:rsidR="001C0BC0">
        <w:rPr>
          <w:lang w:val="en-US"/>
        </w:rPr>
        <w:t>, et al.</w:t>
      </w:r>
      <w:r w:rsidR="00641AE8">
        <w:rPr>
          <w:lang w:val="en-US"/>
        </w:rPr>
        <w:t xml:space="preserve">, 2017, LEAFS Project deliverable D6, </w:t>
      </w:r>
    </w:p>
    <w:p w:rsidR="0093632E" w:rsidRDefault="005F6A1B" w:rsidP="0093632E">
      <w:pPr>
        <w:ind w:left="284" w:hanging="284"/>
        <w:rPr>
          <w:lang w:val="en-US"/>
        </w:rPr>
      </w:pPr>
      <w:r>
        <w:rPr>
          <w:lang w:val="en-US"/>
        </w:rPr>
        <w:t xml:space="preserve">Moisl F., Radl J., 2018, LEAFS Project report, </w:t>
      </w:r>
      <w:r w:rsidRPr="005F6A1B">
        <w:rPr>
          <w:lang w:val="en-US"/>
        </w:rPr>
        <w:t>Report on Simulation of single integration levels in the architecture</w:t>
      </w:r>
    </w:p>
    <w:p w:rsidR="0093632E" w:rsidRDefault="001C0BC0" w:rsidP="0093632E">
      <w:pPr>
        <w:ind w:left="284" w:hanging="284"/>
        <w:rPr>
          <w:lang w:val="en-US"/>
        </w:rPr>
      </w:pPr>
      <w:r w:rsidRPr="00F4350E">
        <w:rPr>
          <w:lang w:val="en-US"/>
        </w:rPr>
        <w:t>de Bruy</w:t>
      </w:r>
      <w:r w:rsidRPr="00F4350E">
        <w:rPr>
          <w:lang w:val="de-AT"/>
        </w:rPr>
        <w:t xml:space="preserve">n, K., Kollmann, A., Moser, S., Schmidthaler, M., Amann, C., Elbe, C., Schmautzer, E., Kraussler, A., Reinofer-Gubisch, M., Pucker, J., et al. (2014). LoadShift: Lastverschiebung in Haushalt, Industrie, Gewerbe und kommunaler Infrastruktur - Potenzialanalyse für Smart Grids (Linz und Graz). </w:t>
      </w:r>
      <w:r w:rsidRPr="001C0BC0">
        <w:rPr>
          <w:lang w:val="en-US"/>
        </w:rPr>
        <w:t>Berichte aus Energie- und Umweltforschung</w:t>
      </w:r>
    </w:p>
    <w:p w:rsidR="00C22917" w:rsidRDefault="00D1420A" w:rsidP="0093632E">
      <w:pPr>
        <w:ind w:left="284" w:hanging="284"/>
        <w:rPr>
          <w:lang w:val="en-US"/>
        </w:rPr>
      </w:pPr>
      <w:r>
        <w:rPr>
          <w:lang w:val="en-US"/>
        </w:rPr>
        <w:t>EPEX 2016,</w:t>
      </w:r>
      <w:r w:rsidR="00C22917">
        <w:rPr>
          <w:lang w:val="en-US"/>
        </w:rPr>
        <w:t xml:space="preserve"> Historical Day-Ahead prices of year 2016 for DE/AT,</w:t>
      </w:r>
      <w:r>
        <w:rPr>
          <w:lang w:val="en-US"/>
        </w:rPr>
        <w:t xml:space="preserve"> </w:t>
      </w:r>
      <w:hyperlink r:id="rId10" w:history="1">
        <w:r w:rsidR="00C22917" w:rsidRPr="004F1F7F">
          <w:rPr>
            <w:rStyle w:val="Hyperlink"/>
            <w:lang w:val="en-US"/>
          </w:rPr>
          <w:t>https://www.epexspot.com</w:t>
        </w:r>
      </w:hyperlink>
    </w:p>
    <w:p w:rsidR="00EF67C0" w:rsidRPr="003E2369" w:rsidRDefault="00EF67C0" w:rsidP="00775450">
      <w:pPr>
        <w:pStyle w:val="Literatur"/>
        <w:ind w:left="0" w:firstLine="0"/>
        <w:rPr>
          <w:lang w:val="en-US"/>
        </w:rPr>
      </w:pPr>
    </w:p>
    <w:sectPr w:rsidR="00EF67C0" w:rsidRPr="003E236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4CD3" w:rsidRDefault="001E4CD3">
      <w:r>
        <w:separator/>
      </w:r>
    </w:p>
  </w:endnote>
  <w:endnote w:type="continuationSeparator" w:id="0">
    <w:p w:rsidR="001E4CD3" w:rsidRDefault="001E4C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4CD3" w:rsidRDefault="001E4CD3">
      <w:r>
        <w:separator/>
      </w:r>
    </w:p>
  </w:footnote>
  <w:footnote w:type="continuationSeparator" w:id="0">
    <w:p w:rsidR="001E4CD3" w:rsidRDefault="001E4CD3">
      <w:r>
        <w:continuationSeparator/>
      </w:r>
    </w:p>
  </w:footnote>
  <w:footnote w:id="1">
    <w:p w:rsidR="005F6A1B" w:rsidRPr="005958D7" w:rsidRDefault="005F6A1B" w:rsidP="005F6A1B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 w:rsidRPr="005958D7">
        <w:rPr>
          <w:lang w:val="en-US"/>
        </w:rPr>
        <w:t xml:space="preserve"> This contribution is based </w:t>
      </w:r>
      <w:r>
        <w:rPr>
          <w:lang w:val="en-US"/>
        </w:rPr>
        <w:t>on the project</w:t>
      </w:r>
      <w:r w:rsidRPr="005958D7">
        <w:rPr>
          <w:lang w:val="en-US"/>
        </w:rPr>
        <w:t xml:space="preserve"> "LEAFS - Integration of Loads and Electric Storage Systems into advanced Flexibility Schemes for LV Networks". The project LEAFS is financed by the „Klima- und Energiefonds“</w:t>
      </w:r>
      <w:r>
        <w:rPr>
          <w:lang w:val="en-US"/>
        </w:rPr>
        <w:t xml:space="preserve">, </w:t>
      </w:r>
      <w:r w:rsidRPr="005958D7">
        <w:rPr>
          <w:lang w:val="en-US"/>
        </w:rPr>
        <w:t>and operates within the program „Energieforschungsprogramms 2014“.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D5071F"/>
    <w:multiLevelType w:val="multilevel"/>
    <w:tmpl w:val="0978BA90"/>
    <w:numStyleLink w:val="Aufzhlung"/>
  </w:abstractNum>
  <w:abstractNum w:abstractNumId="1" w15:restartNumberingAfterBreak="0">
    <w:nsid w:val="17567494"/>
    <w:multiLevelType w:val="hybridMultilevel"/>
    <w:tmpl w:val="0978BA90"/>
    <w:lvl w:ilvl="0" w:tplc="085E667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4E5F29"/>
    <w:multiLevelType w:val="hybridMultilevel"/>
    <w:tmpl w:val="7B725F22"/>
    <w:lvl w:ilvl="0" w:tplc="CAB86F4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D75967"/>
    <w:multiLevelType w:val="multilevel"/>
    <w:tmpl w:val="0978BA90"/>
    <w:numStyleLink w:val="Aufzhlung"/>
  </w:abstractNum>
  <w:abstractNum w:abstractNumId="4" w15:restartNumberingAfterBreak="0">
    <w:nsid w:val="6B5E4F19"/>
    <w:multiLevelType w:val="multilevel"/>
    <w:tmpl w:val="0978BA90"/>
    <w:styleLink w:val="Aufzhlung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cs="Arial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4D4F"/>
    <w:rsid w:val="00010E92"/>
    <w:rsid w:val="00024D3D"/>
    <w:rsid w:val="000411CB"/>
    <w:rsid w:val="000C7706"/>
    <w:rsid w:val="001C0BC0"/>
    <w:rsid w:val="001C2212"/>
    <w:rsid w:val="001E4CD3"/>
    <w:rsid w:val="002014D3"/>
    <w:rsid w:val="00227125"/>
    <w:rsid w:val="00262FD5"/>
    <w:rsid w:val="002861D6"/>
    <w:rsid w:val="002946B8"/>
    <w:rsid w:val="002A6FA4"/>
    <w:rsid w:val="002C396C"/>
    <w:rsid w:val="00350F98"/>
    <w:rsid w:val="003A6167"/>
    <w:rsid w:val="003B676F"/>
    <w:rsid w:val="003C28FE"/>
    <w:rsid w:val="003E2369"/>
    <w:rsid w:val="003E2AE3"/>
    <w:rsid w:val="003F7642"/>
    <w:rsid w:val="00415F0E"/>
    <w:rsid w:val="0046360E"/>
    <w:rsid w:val="00483B87"/>
    <w:rsid w:val="00493D4B"/>
    <w:rsid w:val="004C1F75"/>
    <w:rsid w:val="004F7C98"/>
    <w:rsid w:val="005518B3"/>
    <w:rsid w:val="005958D7"/>
    <w:rsid w:val="005B1ADB"/>
    <w:rsid w:val="005E4D4F"/>
    <w:rsid w:val="005F6A1B"/>
    <w:rsid w:val="00603479"/>
    <w:rsid w:val="0063734B"/>
    <w:rsid w:val="00641AE8"/>
    <w:rsid w:val="006A71C3"/>
    <w:rsid w:val="006D701D"/>
    <w:rsid w:val="007213C4"/>
    <w:rsid w:val="007272E9"/>
    <w:rsid w:val="007378C8"/>
    <w:rsid w:val="00741EC0"/>
    <w:rsid w:val="007461EF"/>
    <w:rsid w:val="00747286"/>
    <w:rsid w:val="00775450"/>
    <w:rsid w:val="00785036"/>
    <w:rsid w:val="00803917"/>
    <w:rsid w:val="0081057D"/>
    <w:rsid w:val="008140E0"/>
    <w:rsid w:val="00862BAE"/>
    <w:rsid w:val="008724BB"/>
    <w:rsid w:val="008924E2"/>
    <w:rsid w:val="008D54BD"/>
    <w:rsid w:val="008E423F"/>
    <w:rsid w:val="008F7A38"/>
    <w:rsid w:val="00907ADF"/>
    <w:rsid w:val="00921C85"/>
    <w:rsid w:val="0093632E"/>
    <w:rsid w:val="009613BC"/>
    <w:rsid w:val="009710D9"/>
    <w:rsid w:val="0097592F"/>
    <w:rsid w:val="00983185"/>
    <w:rsid w:val="009B3076"/>
    <w:rsid w:val="009B5815"/>
    <w:rsid w:val="009B731D"/>
    <w:rsid w:val="009E22E4"/>
    <w:rsid w:val="009E2884"/>
    <w:rsid w:val="00A07737"/>
    <w:rsid w:val="00A156E4"/>
    <w:rsid w:val="00A15D40"/>
    <w:rsid w:val="00A601C2"/>
    <w:rsid w:val="00A6148D"/>
    <w:rsid w:val="00AD45BB"/>
    <w:rsid w:val="00AD7533"/>
    <w:rsid w:val="00B45CE0"/>
    <w:rsid w:val="00B64A0E"/>
    <w:rsid w:val="00B76094"/>
    <w:rsid w:val="00B92417"/>
    <w:rsid w:val="00BB34D5"/>
    <w:rsid w:val="00BD6013"/>
    <w:rsid w:val="00BE143D"/>
    <w:rsid w:val="00BE2556"/>
    <w:rsid w:val="00BF05FA"/>
    <w:rsid w:val="00C22917"/>
    <w:rsid w:val="00C2646C"/>
    <w:rsid w:val="00C36AD1"/>
    <w:rsid w:val="00C454E7"/>
    <w:rsid w:val="00C654AB"/>
    <w:rsid w:val="00C72872"/>
    <w:rsid w:val="00C90C61"/>
    <w:rsid w:val="00CA6405"/>
    <w:rsid w:val="00CA71C3"/>
    <w:rsid w:val="00CB7C53"/>
    <w:rsid w:val="00CD7389"/>
    <w:rsid w:val="00CE1A70"/>
    <w:rsid w:val="00CF1111"/>
    <w:rsid w:val="00D119F9"/>
    <w:rsid w:val="00D1420A"/>
    <w:rsid w:val="00D422E0"/>
    <w:rsid w:val="00D519D7"/>
    <w:rsid w:val="00D53E86"/>
    <w:rsid w:val="00D736F8"/>
    <w:rsid w:val="00D753D1"/>
    <w:rsid w:val="00DA3DE5"/>
    <w:rsid w:val="00DA62A1"/>
    <w:rsid w:val="00DB2E36"/>
    <w:rsid w:val="00DB56FB"/>
    <w:rsid w:val="00DF0A6B"/>
    <w:rsid w:val="00E013CD"/>
    <w:rsid w:val="00E2587A"/>
    <w:rsid w:val="00E465E3"/>
    <w:rsid w:val="00E520E6"/>
    <w:rsid w:val="00ED0AED"/>
    <w:rsid w:val="00EF67C0"/>
    <w:rsid w:val="00F314D6"/>
    <w:rsid w:val="00F3678C"/>
    <w:rsid w:val="00F4350E"/>
    <w:rsid w:val="00F545C4"/>
    <w:rsid w:val="00FA55FF"/>
    <w:rsid w:val="00FB69AE"/>
    <w:rsid w:val="00FD5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347287-3D07-4E99-A882-8BA560E9C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7125"/>
    <w:pPr>
      <w:jc w:val="both"/>
    </w:pPr>
    <w:rPr>
      <w:rFonts w:ascii="Arial" w:hAnsi="Arial"/>
      <w:szCs w:val="24"/>
      <w:lang w:val="de-DE" w:eastAsia="ko-KR"/>
    </w:rPr>
  </w:style>
  <w:style w:type="paragraph" w:styleId="Heading1">
    <w:name w:val="heading 1"/>
    <w:basedOn w:val="Normal"/>
    <w:next w:val="Normal"/>
    <w:link w:val="Heading1Char"/>
    <w:uiPriority w:val="9"/>
    <w:qFormat/>
    <w:rsid w:val="0093632E"/>
    <w:pPr>
      <w:spacing w:before="120" w:after="120"/>
      <w:outlineLvl w:val="0"/>
    </w:pPr>
    <w:rPr>
      <w:b/>
      <w:sz w:val="22"/>
      <w:lang w:val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FootnoteReference">
    <w:name w:val="footnote reference"/>
    <w:aliases w:val="Footnote Reference Number,-E Fußnotenzeichen,(Diplomarbeit FZ),(Diplomarbeit FZ)1,(Diplomarbeit FZ)2,(Diplomarbeit FZ)3,(Diplomarbeit FZ)4,(Diplomarbeit FZ)5,(Diplomarbeit FZ)6,(Diplomarbeit FZ)7,(Diplomarbeit FZ)8,(Diplomarbeit FZ)9"/>
    <w:uiPriority w:val="99"/>
    <w:semiHidden/>
    <w:rsid w:val="005E4D4F"/>
    <w:rPr>
      <w:vertAlign w:val="superscript"/>
    </w:rPr>
  </w:style>
  <w:style w:type="paragraph" w:styleId="Title">
    <w:name w:val="Title"/>
    <w:basedOn w:val="Normal"/>
    <w:link w:val="TitleChar"/>
    <w:qFormat/>
    <w:rsid w:val="005E4D4F"/>
    <w:pPr>
      <w:pageBreakBefore/>
      <w:spacing w:before="120" w:after="120"/>
      <w:jc w:val="center"/>
    </w:pPr>
    <w:rPr>
      <w:b/>
      <w:snapToGrid w:val="0"/>
      <w:kern w:val="28"/>
      <w:sz w:val="32"/>
      <w:szCs w:val="20"/>
      <w:lang w:eastAsia="en-US"/>
    </w:rPr>
  </w:style>
  <w:style w:type="numbering" w:customStyle="1" w:styleId="Aufzhlung">
    <w:name w:val="Aufzählung"/>
    <w:basedOn w:val="NoList"/>
    <w:rsid w:val="00227125"/>
    <w:pPr>
      <w:numPr>
        <w:numId w:val="2"/>
      </w:numPr>
    </w:pPr>
  </w:style>
  <w:style w:type="paragraph" w:customStyle="1" w:styleId="Abbildungsbeschriftung">
    <w:name w:val="Abbildungsbeschriftung"/>
    <w:basedOn w:val="Normal"/>
    <w:rsid w:val="002946B8"/>
    <w:rPr>
      <w:i/>
      <w:iCs/>
    </w:rPr>
  </w:style>
  <w:style w:type="character" w:customStyle="1" w:styleId="TitleChar">
    <w:name w:val="Title Char"/>
    <w:link w:val="Title"/>
    <w:rsid w:val="005E4D4F"/>
    <w:rPr>
      <w:rFonts w:ascii="Arial" w:hAnsi="Arial"/>
      <w:b/>
      <w:snapToGrid w:val="0"/>
      <w:kern w:val="28"/>
      <w:sz w:val="32"/>
      <w:lang w:val="de-DE" w:eastAsia="en-US" w:bidi="ar-SA"/>
    </w:rPr>
  </w:style>
  <w:style w:type="paragraph" w:customStyle="1" w:styleId="Ueberschrift">
    <w:name w:val="Ueberschrift"/>
    <w:basedOn w:val="Normal"/>
    <w:link w:val="UeberschriftChar"/>
    <w:rsid w:val="00A07737"/>
    <w:pPr>
      <w:spacing w:before="120" w:after="120"/>
    </w:pPr>
    <w:rPr>
      <w:b/>
      <w:spacing w:val="-5"/>
      <w:sz w:val="22"/>
      <w:lang w:eastAsia="de-DE"/>
    </w:rPr>
  </w:style>
  <w:style w:type="paragraph" w:styleId="Caption">
    <w:name w:val="caption"/>
    <w:basedOn w:val="Normal"/>
    <w:next w:val="Normal"/>
    <w:uiPriority w:val="35"/>
    <w:unhideWhenUsed/>
    <w:qFormat/>
    <w:rsid w:val="00415F0E"/>
    <w:rPr>
      <w:b/>
      <w:bCs/>
      <w:szCs w:val="20"/>
    </w:rPr>
  </w:style>
  <w:style w:type="character" w:customStyle="1" w:styleId="UeberschriftChar">
    <w:name w:val="Ueberschrift Char"/>
    <w:link w:val="Ueberschrift"/>
    <w:rsid w:val="00A07737"/>
    <w:rPr>
      <w:rFonts w:ascii="Arial" w:hAnsi="Arial"/>
      <w:b/>
      <w:spacing w:val="-5"/>
      <w:sz w:val="22"/>
      <w:szCs w:val="24"/>
      <w:lang w:val="de-DE" w:eastAsia="de-DE" w:bidi="ar-SA"/>
    </w:rPr>
  </w:style>
  <w:style w:type="paragraph" w:customStyle="1" w:styleId="Abstract-Titel">
    <w:name w:val="Abstract-Titel"/>
    <w:basedOn w:val="Title"/>
    <w:rsid w:val="005E4D4F"/>
    <w:rPr>
      <w:rFonts w:cs="Arial"/>
    </w:rPr>
  </w:style>
  <w:style w:type="paragraph" w:customStyle="1" w:styleId="AutorenOrganisation">
    <w:name w:val="Autoren &amp; Organisation"/>
    <w:basedOn w:val="Normal"/>
    <w:rsid w:val="00010E92"/>
    <w:pPr>
      <w:tabs>
        <w:tab w:val="left" w:pos="1560"/>
      </w:tabs>
      <w:overflowPunct w:val="0"/>
      <w:autoSpaceDE w:val="0"/>
      <w:autoSpaceDN w:val="0"/>
      <w:adjustRightInd w:val="0"/>
      <w:jc w:val="center"/>
      <w:textAlignment w:val="baseline"/>
    </w:pPr>
    <w:rPr>
      <w:rFonts w:cs="Arial"/>
      <w:color w:val="181512"/>
      <w:spacing w:val="-5"/>
      <w:sz w:val="24"/>
      <w:lang w:val="de-AT" w:eastAsia="de-D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A3DE5"/>
    <w:rPr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DA3DE5"/>
    <w:rPr>
      <w:rFonts w:ascii="Arial" w:hAnsi="Arial"/>
      <w:lang w:val="de-DE" w:eastAsia="ko-KR"/>
    </w:rPr>
  </w:style>
  <w:style w:type="paragraph" w:customStyle="1" w:styleId="Literatur">
    <w:name w:val="Literatur"/>
    <w:basedOn w:val="Normal"/>
    <w:rsid w:val="005E4D4F"/>
    <w:pPr>
      <w:ind w:left="284" w:hanging="284"/>
    </w:pPr>
    <w:rPr>
      <w:rFonts w:cs="Arial"/>
      <w:szCs w:val="20"/>
      <w:lang w:eastAsia="de-DE"/>
    </w:rPr>
  </w:style>
  <w:style w:type="character" w:styleId="CommentReference">
    <w:name w:val="annotation reference"/>
    <w:uiPriority w:val="99"/>
    <w:semiHidden/>
    <w:unhideWhenUsed/>
    <w:rsid w:val="008924E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924E2"/>
    <w:rPr>
      <w:szCs w:val="20"/>
    </w:rPr>
  </w:style>
  <w:style w:type="character" w:customStyle="1" w:styleId="CommentTextChar">
    <w:name w:val="Comment Text Char"/>
    <w:link w:val="CommentText"/>
    <w:uiPriority w:val="99"/>
    <w:semiHidden/>
    <w:rsid w:val="008924E2"/>
    <w:rPr>
      <w:rFonts w:ascii="Arial" w:hAnsi="Arial"/>
      <w:lang w:val="de-DE" w:eastAsia="ko-K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924E2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8924E2"/>
    <w:rPr>
      <w:rFonts w:ascii="Arial" w:hAnsi="Arial"/>
      <w:b/>
      <w:bCs/>
      <w:lang w:val="de-DE" w:eastAsia="ko-K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24E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8924E2"/>
    <w:rPr>
      <w:rFonts w:ascii="Segoe UI" w:hAnsi="Segoe UI" w:cs="Segoe UI"/>
      <w:sz w:val="18"/>
      <w:szCs w:val="18"/>
      <w:lang w:val="de-DE" w:eastAsia="ko-KR"/>
    </w:rPr>
  </w:style>
  <w:style w:type="character" w:customStyle="1" w:styleId="Heading1Char">
    <w:name w:val="Heading 1 Char"/>
    <w:link w:val="Heading1"/>
    <w:uiPriority w:val="9"/>
    <w:rsid w:val="0093632E"/>
    <w:rPr>
      <w:rFonts w:ascii="Arial" w:hAnsi="Arial"/>
      <w:b/>
      <w:sz w:val="22"/>
      <w:szCs w:val="24"/>
      <w:lang w:val="en-US" w:eastAsia="ko-KR"/>
    </w:rPr>
  </w:style>
  <w:style w:type="character" w:styleId="Hyperlink">
    <w:name w:val="Hyperlink"/>
    <w:uiPriority w:val="99"/>
    <w:unhideWhenUsed/>
    <w:rsid w:val="0093632E"/>
    <w:rPr>
      <w:color w:val="0563C1"/>
      <w:u w:val="single"/>
    </w:rPr>
  </w:style>
  <w:style w:type="table" w:styleId="TableGrid">
    <w:name w:val="Table Grid"/>
    <w:basedOn w:val="TableNormal"/>
    <w:uiPriority w:val="59"/>
    <w:rsid w:val="001C0BC0"/>
    <w:rPr>
      <w:rFonts w:ascii="Calibri" w:eastAsia="Calibri" w:hAnsi="Calibri"/>
      <w:sz w:val="22"/>
      <w:szCs w:val="22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uiPriority w:val="22"/>
    <w:qFormat/>
    <w:rsid w:val="001C0BC0"/>
    <w:rPr>
      <w:b/>
      <w:bCs/>
    </w:rPr>
  </w:style>
  <w:style w:type="paragraph" w:customStyle="1" w:styleId="Tabelleninhalt">
    <w:name w:val="Tabelleninhalt"/>
    <w:basedOn w:val="Normal"/>
    <w:qFormat/>
    <w:rsid w:val="001C0BC0"/>
    <w:rPr>
      <w:rFonts w:eastAsia="Calibri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1C0BC0"/>
    <w:pPr>
      <w:spacing w:before="100" w:beforeAutospacing="1" w:after="100" w:afterAutospacing="1"/>
      <w:jc w:val="left"/>
    </w:pPr>
    <w:rPr>
      <w:rFonts w:ascii="Times New Roman" w:hAnsi="Times New Roman"/>
      <w:sz w:val="24"/>
      <w:lang w:val="de-AT" w:eastAsia="de-A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51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94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192151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685705">
                  <w:marLeft w:val="0"/>
                  <w:marRight w:val="0"/>
                  <w:marTop w:val="0"/>
                  <w:marBottom w:val="120"/>
                  <w:divBdr>
                    <w:top w:val="single" w:sz="6" w:space="0" w:color="C0C0C0"/>
                    <w:left w:val="single" w:sz="6" w:space="0" w:color="D9D9D9"/>
                    <w:bottom w:val="single" w:sz="6" w:space="0" w:color="D9D9D9"/>
                    <w:right w:val="single" w:sz="6" w:space="0" w:color="D9D9D9"/>
                  </w:divBdr>
                  <w:divsChild>
                    <w:div w:id="1678531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8851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3021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91202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754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496075">
                      <w:marLeft w:val="0"/>
                      <w:marRight w:val="0"/>
                      <w:marTop w:val="0"/>
                      <w:marBottom w:val="120"/>
                      <w:divBdr>
                        <w:top w:val="single" w:sz="6" w:space="0" w:color="F5F5F5"/>
                        <w:left w:val="single" w:sz="6" w:space="0" w:color="F5F5F5"/>
                        <w:bottom w:val="single" w:sz="6" w:space="0" w:color="F5F5F5"/>
                        <w:right w:val="single" w:sz="6" w:space="0" w:color="F5F5F5"/>
                      </w:divBdr>
                      <w:divsChild>
                        <w:div w:id="1553301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4215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41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epexspot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DE6AF3-7A67-4FB6-8287-B15156B41F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745</Words>
  <Characters>3991</Characters>
  <Application>Microsoft Office Word</Application>
  <DocSecurity>0</DocSecurity>
  <Lines>142</Lines>
  <Paragraphs>91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Titel</vt:lpstr>
      <vt:lpstr>Titel</vt:lpstr>
    </vt:vector>
  </TitlesOfParts>
  <Company>TU-Wien Campuslizenz</Company>
  <LinksUpToDate>false</LinksUpToDate>
  <CharactersWithSpaces>4645</CharactersWithSpaces>
  <SharedDoc>false</SharedDoc>
  <HLinks>
    <vt:vector size="6" baseType="variant">
      <vt:variant>
        <vt:i4>4849693</vt:i4>
      </vt:variant>
      <vt:variant>
        <vt:i4>3</vt:i4>
      </vt:variant>
      <vt:variant>
        <vt:i4>0</vt:i4>
      </vt:variant>
      <vt:variant>
        <vt:i4>5</vt:i4>
      </vt:variant>
      <vt:variant>
        <vt:lpwstr>https://www.epexspot.com/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Titel</dc:title>
  <dc:subject/>
  <dc:creator>Gerald</dc:creator>
  <cp:keywords/>
  <cp:lastModifiedBy>Johannes Radl</cp:lastModifiedBy>
  <cp:revision>2</cp:revision>
  <dcterms:created xsi:type="dcterms:W3CDTF">2018-11-14T20:15:00Z</dcterms:created>
  <dcterms:modified xsi:type="dcterms:W3CDTF">2018-11-14T20:15:00Z</dcterms:modified>
</cp:coreProperties>
</file>