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D4F" w:rsidRPr="00DB4398" w:rsidRDefault="00DB4398" w:rsidP="005E4D4F">
      <w:pPr>
        <w:pStyle w:val="Abstract-Titel"/>
        <w:rPr>
          <w:lang w:val="en-US"/>
        </w:rPr>
      </w:pPr>
      <w:r w:rsidRPr="00DB4398">
        <w:rPr>
          <w:lang w:val="en-US"/>
        </w:rPr>
        <w:t>Flexible residential power to heat for renewable energy integration</w:t>
      </w:r>
    </w:p>
    <w:p w:rsidR="00BF05FA" w:rsidRDefault="00BF05FA" w:rsidP="00A156E4">
      <w:pPr>
        <w:pStyle w:val="AutorenOrganisation"/>
      </w:pPr>
      <w:r>
        <w:t>Themenbereich</w:t>
      </w:r>
      <w:r w:rsidR="003D3C6D">
        <w:t xml:space="preserve"> 2 (alternativ Themenbereich 9)</w:t>
      </w:r>
    </w:p>
    <w:p w:rsidR="005E4D4F" w:rsidRPr="00EF68F4" w:rsidRDefault="00DB4398" w:rsidP="00A156E4">
      <w:pPr>
        <w:pStyle w:val="AutorenOrganisation"/>
        <w:rPr>
          <w:lang w:val="en-US"/>
        </w:rPr>
      </w:pPr>
      <w:r w:rsidRPr="00EF68F4">
        <w:rPr>
          <w:lang w:val="en-US"/>
        </w:rPr>
        <w:t>Alexander</w:t>
      </w:r>
      <w:r w:rsidR="005E4D4F" w:rsidRPr="00EF68F4">
        <w:rPr>
          <w:lang w:val="en-US"/>
        </w:rPr>
        <w:t xml:space="preserve"> </w:t>
      </w:r>
      <w:proofErr w:type="gramStart"/>
      <w:r w:rsidRPr="00EF68F4">
        <w:rPr>
          <w:lang w:val="en-US"/>
        </w:rPr>
        <w:t>ZERRAHN</w:t>
      </w:r>
      <w:proofErr w:type="gramEnd"/>
      <w:r w:rsidR="005E4D4F" w:rsidRPr="00010E92">
        <w:rPr>
          <w:vertAlign w:val="superscript"/>
        </w:rPr>
        <w:footnoteReference w:id="1"/>
      </w:r>
      <w:r w:rsidR="00A156E4" w:rsidRPr="00EF68F4">
        <w:rPr>
          <w:vertAlign w:val="superscript"/>
          <w:lang w:val="en-US"/>
        </w:rPr>
        <w:t>(</w:t>
      </w:r>
      <w:r w:rsidR="00735B03" w:rsidRPr="00EF68F4">
        <w:rPr>
          <w:vertAlign w:val="superscript"/>
          <w:lang w:val="en-US"/>
        </w:rPr>
        <w:t>a</w:t>
      </w:r>
      <w:r w:rsidR="00A156E4" w:rsidRPr="00EF68F4">
        <w:rPr>
          <w:vertAlign w:val="superscript"/>
          <w:lang w:val="en-US"/>
        </w:rPr>
        <w:t>)</w:t>
      </w:r>
      <w:r w:rsidR="005E4D4F" w:rsidRPr="00EF68F4">
        <w:rPr>
          <w:lang w:val="en-US"/>
        </w:rPr>
        <w:t xml:space="preserve">, </w:t>
      </w:r>
      <w:r w:rsidRPr="00EF68F4">
        <w:rPr>
          <w:lang w:val="en-US"/>
        </w:rPr>
        <w:t>Wolf-Peter SCHILL</w:t>
      </w:r>
      <w:r w:rsidR="00A156E4" w:rsidRPr="00EF68F4">
        <w:rPr>
          <w:vertAlign w:val="superscript"/>
          <w:lang w:val="en-US"/>
        </w:rPr>
        <w:t>(</w:t>
      </w:r>
      <w:r w:rsidR="00735B03" w:rsidRPr="00EF68F4">
        <w:rPr>
          <w:vertAlign w:val="superscript"/>
          <w:lang w:val="en-US"/>
        </w:rPr>
        <w:t>a</w:t>
      </w:r>
      <w:r w:rsidR="00A156E4" w:rsidRPr="00EF68F4">
        <w:rPr>
          <w:vertAlign w:val="superscript"/>
          <w:lang w:val="en-US"/>
        </w:rPr>
        <w:t>)</w:t>
      </w:r>
    </w:p>
    <w:p w:rsidR="005E4D4F" w:rsidRDefault="00A156E4" w:rsidP="005E4D4F">
      <w:pPr>
        <w:pStyle w:val="AutorenOrganisation"/>
      </w:pPr>
      <w:r w:rsidRPr="00EF68F4">
        <w:rPr>
          <w:vertAlign w:val="superscript"/>
          <w:lang w:val="en-US"/>
        </w:rPr>
        <w:t>(</w:t>
      </w:r>
      <w:r w:rsidR="00735B03" w:rsidRPr="00EF68F4">
        <w:rPr>
          <w:vertAlign w:val="superscript"/>
          <w:lang w:val="en-US"/>
        </w:rPr>
        <w:t>a</w:t>
      </w:r>
      <w:r>
        <w:rPr>
          <w:vertAlign w:val="superscript"/>
        </w:rPr>
        <w:t>)</w:t>
      </w:r>
      <w:r w:rsidR="00DB4398">
        <w:t>DIW Berlin</w:t>
      </w:r>
    </w:p>
    <w:p w:rsidR="00A07737" w:rsidRPr="005E4D4F" w:rsidRDefault="00A07737" w:rsidP="00FB69AE">
      <w:pPr>
        <w:rPr>
          <w:lang w:val="de-AT"/>
        </w:rPr>
      </w:pPr>
    </w:p>
    <w:p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:rsidR="00DB4398" w:rsidRDefault="00B20C29" w:rsidP="00DB4398">
      <w:r>
        <w:t>Die</w:t>
      </w:r>
      <w:r w:rsidR="00DB3AAF">
        <w:t xml:space="preserve"> Energiewende </w:t>
      </w:r>
      <w:r>
        <w:t xml:space="preserve">hat die </w:t>
      </w:r>
      <w:r w:rsidR="00DB4398">
        <w:t xml:space="preserve">die </w:t>
      </w:r>
      <w:proofErr w:type="spellStart"/>
      <w:r>
        <w:t>Dekarbonisierung</w:t>
      </w:r>
      <w:proofErr w:type="spellEnd"/>
      <w:r>
        <w:t xml:space="preserve"> der nachgefragten Energie zum Ziel</w:t>
      </w:r>
      <w:r w:rsidR="00DB3AAF">
        <w:t xml:space="preserve">. </w:t>
      </w:r>
      <w:r w:rsidR="00DB4398">
        <w:t xml:space="preserve">Eine vielversprechende Strategie </w:t>
      </w:r>
      <w:r>
        <w:t>im Wärme- und Verkehrsbereich</w:t>
      </w:r>
      <w:r w:rsidDel="00B20C29">
        <w:t xml:space="preserve"> </w:t>
      </w:r>
      <w:r>
        <w:t>i</w:t>
      </w:r>
      <w:r w:rsidR="00DB4398">
        <w:t xml:space="preserve">st die flexible Nutzung von erneuerbarem Strom, auch Sektorenkopplung genannt. Hier können elektrische Nachtspeicherheizungen eine Rolle spielen, indem sie einerseits </w:t>
      </w:r>
      <w:r>
        <w:t>zur Minderung der Treibhausgasemissionen im Raumwärmebereich beitragen</w:t>
      </w:r>
      <w:r>
        <w:t xml:space="preserve"> und andererseits </w:t>
      </w:r>
      <w:r w:rsidR="00DB4398">
        <w:t xml:space="preserve">Flexibilität für </w:t>
      </w:r>
      <w:r>
        <w:t xml:space="preserve">die Integration </w:t>
      </w:r>
      <w:r w:rsidR="00DB4398">
        <w:t>fluktuierende</w:t>
      </w:r>
      <w:r>
        <w:t>r</w:t>
      </w:r>
      <w:r w:rsidR="00DB4398">
        <w:t xml:space="preserve"> erneuerbare</w:t>
      </w:r>
      <w:r>
        <w:t>r</w:t>
      </w:r>
      <w:r w:rsidR="00DB4398">
        <w:t xml:space="preserve"> Energien bereitstellen. </w:t>
      </w:r>
    </w:p>
    <w:p w:rsidR="008B5145" w:rsidRDefault="008B5145" w:rsidP="00DB4398"/>
    <w:p w:rsidR="008B5145" w:rsidRDefault="00950726" w:rsidP="008B5145">
      <w:r>
        <w:t>In diesem Artikel untersuchen wir</w:t>
      </w:r>
      <w:r w:rsidR="008B5145">
        <w:t>, welche Effekte sich im deut</w:t>
      </w:r>
      <w:r w:rsidR="008B5145" w:rsidRPr="00DB4398">
        <w:t xml:space="preserve">schen </w:t>
      </w:r>
      <w:r w:rsidR="008B5145">
        <w:t>Stromsystem ergeben, falls die bestehenden Nachtspeicherhei</w:t>
      </w:r>
      <w:r w:rsidR="008B5145" w:rsidRPr="00DB4398">
        <w:t>z</w:t>
      </w:r>
      <w:r w:rsidR="008B5145">
        <w:t xml:space="preserve">ungen rund um die Uhr flexibel </w:t>
      </w:r>
      <w:r w:rsidR="008B5145" w:rsidRPr="00DB4398">
        <w:t>ge</w:t>
      </w:r>
      <w:r w:rsidR="008B5145">
        <w:t xml:space="preserve">laden werden können. </w:t>
      </w:r>
      <w:r>
        <w:t xml:space="preserve">Ein besonderer Fokus liegt hierbei </w:t>
      </w:r>
      <w:r w:rsidR="00DB3AAF">
        <w:t>auf</w:t>
      </w:r>
      <w:r>
        <w:t xml:space="preserve"> den</w:t>
      </w:r>
      <w:r w:rsidR="008B5145">
        <w:t xml:space="preserve"> Systemkosten, Emissionen sowie </w:t>
      </w:r>
      <w:r w:rsidR="00DB3AAF">
        <w:t>de</w:t>
      </w:r>
      <w:r>
        <w:t>m</w:t>
      </w:r>
      <w:r w:rsidR="00DB3AAF">
        <w:t xml:space="preserve"> Wert der Flexibilität.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Methodische Vorgangsweise</w:t>
      </w:r>
    </w:p>
    <w:p w:rsidR="00DB3AAF" w:rsidRDefault="009D554A" w:rsidP="00227125">
      <w:r>
        <w:t>Der Artikel beruht auf dem open-</w:t>
      </w:r>
      <w:proofErr w:type="spellStart"/>
      <w:r>
        <w:t>source</w:t>
      </w:r>
      <w:proofErr w:type="spellEnd"/>
      <w:r>
        <w:t xml:space="preserve"> Stromsystemmodell DIETER, das am DIW Berlin entwickelt worden ist. DIETER ist ein lineares Optimierungsmodell; es minimiert die Gesamtkosten </w:t>
      </w:r>
      <w:r w:rsidRPr="009D554A">
        <w:t>des deutschen Stromsystems über alle Stunden eines Jahres. Wesentliche Modellinputs sind Annahmen zu fixen und variablen Kosten verschiedener Technologien sowie Zeitreihen der Stromnachf</w:t>
      </w:r>
      <w:r>
        <w:t>rage und der Stromerzeugungsmög</w:t>
      </w:r>
      <w:r w:rsidRPr="009D554A">
        <w:t>lichkeiten erneuerbarer Energien. Zu den Modellergebnissen gehören installierte Kraftwerks- und Speicherkapazitäten und ihr jeweiliger stündlicher Einsatz sowie die Gesamtkosten und CO</w:t>
      </w:r>
      <w:r w:rsidRPr="009D554A">
        <w:rPr>
          <w:vertAlign w:val="subscript"/>
        </w:rPr>
        <w:t>2</w:t>
      </w:r>
      <w:r w:rsidRPr="009D554A">
        <w:t>-Emissionen.</w:t>
      </w:r>
    </w:p>
    <w:p w:rsidR="009D554A" w:rsidRDefault="009D554A" w:rsidP="00227125"/>
    <w:p w:rsidR="00C24420" w:rsidRDefault="009D554A" w:rsidP="00227125">
      <w:r>
        <w:t xml:space="preserve">Das Modell wurde um </w:t>
      </w:r>
      <w:r w:rsidRPr="009D554A">
        <w:t>eine Abbildung des Raumwärmebereichs</w:t>
      </w:r>
      <w:r>
        <w:t xml:space="preserve"> erweitert. </w:t>
      </w:r>
      <w:r w:rsidR="00C24420">
        <w:t>Neue Inputparameter sind die</w:t>
      </w:r>
      <w:r w:rsidRPr="009D554A">
        <w:t xml:space="preserve"> stündlich aufgelöste</w:t>
      </w:r>
      <w:r w:rsidR="00C24420">
        <w:t>n</w:t>
      </w:r>
      <w:r w:rsidRPr="009D554A">
        <w:t xml:space="preserve"> Raumwärme- und Warmwasserbedarf</w:t>
      </w:r>
      <w:r w:rsidR="00C24420">
        <w:t>e</w:t>
      </w:r>
      <w:r w:rsidRPr="009D554A">
        <w:t xml:space="preserve"> des deutschen Wohngebäudebestands, differenzi</w:t>
      </w:r>
      <w:r>
        <w:t>ert nach zwölf Gebäudetypen, so</w:t>
      </w:r>
      <w:r w:rsidRPr="009D554A">
        <w:t>wie die jeweiligen Technologien für</w:t>
      </w:r>
      <w:r>
        <w:t xml:space="preserve"> </w:t>
      </w:r>
      <w:r w:rsidR="00C24420">
        <w:t xml:space="preserve">ihre </w:t>
      </w:r>
      <w:r>
        <w:t>Bereitstellung</w:t>
      </w:r>
      <w:r w:rsidRPr="009D554A">
        <w:t xml:space="preserve">. Während das Modell grundsätzlich eine Vielzahl von Heizungstypen enthält, liegt der Fokus in </w:t>
      </w:r>
      <w:r w:rsidR="00C24420">
        <w:t>diesem Artikel auf elek</w:t>
      </w:r>
      <w:r w:rsidRPr="009D554A">
        <w:t xml:space="preserve">trischen Speicherheizungen. </w:t>
      </w:r>
    </w:p>
    <w:p w:rsidR="00C24420" w:rsidRDefault="00C24420" w:rsidP="00227125"/>
    <w:p w:rsidR="00950726" w:rsidRDefault="00950726" w:rsidP="00227125">
      <w:r>
        <w:t xml:space="preserve">Das Modell wird für verschiedene Szenarien das Jahres 2030 </w:t>
      </w:r>
      <w:r w:rsidR="007856F4">
        <w:t xml:space="preserve">angewendet, angelehnt am </w:t>
      </w:r>
      <w:r>
        <w:t xml:space="preserve">EU-Referenzszenario 2016. </w:t>
      </w:r>
      <w:r w:rsidR="000D50A5">
        <w:t>Neben einem</w:t>
      </w:r>
      <w:r>
        <w:t xml:space="preserve"> Basisszenario untersuchen wir Szenarien mit höherer Verfügbarkeit konkurrierender Flexibilitätsoptionen sowie </w:t>
      </w:r>
      <w:r w:rsidR="00735B03">
        <w:t>drei</w:t>
      </w:r>
      <w:r>
        <w:t xml:space="preserve"> </w:t>
      </w:r>
      <w:r w:rsidR="001F251A">
        <w:t>„</w:t>
      </w:r>
      <w:r>
        <w:t>grüne</w:t>
      </w:r>
      <w:r w:rsidR="001F251A">
        <w:t>“</w:t>
      </w:r>
      <w:r w:rsidR="003D3C6D">
        <w:t xml:space="preserve"> Szenarien:</w:t>
      </w:r>
      <w:r>
        <w:t xml:space="preserve"> eines mit erhöhtem </w:t>
      </w:r>
      <w:r w:rsidRPr="009D554A">
        <w:t>CO</w:t>
      </w:r>
      <w:r w:rsidRPr="009D554A">
        <w:rPr>
          <w:vertAlign w:val="subscript"/>
        </w:rPr>
        <w:t>2</w:t>
      </w:r>
      <w:r>
        <w:t>-Preis</w:t>
      </w:r>
      <w:r w:rsidR="00735B03">
        <w:t>,</w:t>
      </w:r>
      <w:r>
        <w:t xml:space="preserve"> eines mit erhöhtem Anteil erneuerbarer Energien</w:t>
      </w:r>
      <w:r w:rsidR="00735B03">
        <w:t xml:space="preserve"> und eines mit einem beschleunigten Kohleausstieg</w:t>
      </w:r>
      <w:r>
        <w:t xml:space="preserve">. </w:t>
      </w:r>
    </w:p>
    <w:p w:rsidR="00950726" w:rsidRDefault="00950726" w:rsidP="00227125"/>
    <w:p w:rsidR="00950726" w:rsidRDefault="00950726" w:rsidP="00227125">
      <w:r>
        <w:t>Für jedes Szenario vergleichen wir zwei Modellläufe miteinander: einen mit unflexiblen Nachtspeichern, die annahmegemäß nur zwischen 22 Uhr und 6 Uhr aufgeladen werden; und einen mit flexiblen Speicherheizungen</w:t>
      </w:r>
      <w:r w:rsidR="003D3C6D">
        <w:t xml:space="preserve"> (SETS)</w:t>
      </w:r>
      <w:r>
        <w:t xml:space="preserve">, </w:t>
      </w:r>
      <w:r w:rsidR="00735B03">
        <w:t>für die</w:t>
      </w:r>
      <w:r>
        <w:t xml:space="preserve"> es keine zeitlichen Restriktionen der Aufladung gibt.</w:t>
      </w:r>
    </w:p>
    <w:p w:rsidR="005E4D4F" w:rsidRPr="005E4D4F" w:rsidRDefault="005E4D4F" w:rsidP="00227125"/>
    <w:p w:rsidR="005E4D4F" w:rsidRPr="005E4D4F" w:rsidRDefault="005E4D4F" w:rsidP="005E4D4F">
      <w:pPr>
        <w:pStyle w:val="Ueberschrift"/>
      </w:pPr>
      <w:r w:rsidRPr="005E4D4F">
        <w:t>Ergebnisse und Schlussfolgerungen</w:t>
      </w:r>
    </w:p>
    <w:p w:rsidR="000D50A5" w:rsidRDefault="000D50A5" w:rsidP="00227125">
      <w:r w:rsidRPr="000D50A5">
        <w:t>Werden die im Jahr 2030 no</w:t>
      </w:r>
      <w:r>
        <w:t>ch bestehenden Nachtspeicherhei</w:t>
      </w:r>
      <w:r w:rsidRPr="000D50A5">
        <w:t xml:space="preserve">zungen komplett flexibilisiert, </w:t>
      </w:r>
      <w:r w:rsidR="001F251A">
        <w:t xml:space="preserve">sinken </w:t>
      </w:r>
      <w:r w:rsidRPr="000D50A5">
        <w:t>die gesam</w:t>
      </w:r>
      <w:r w:rsidR="001F251A">
        <w:t>ten Systemkosten leicht</w:t>
      </w:r>
      <w:r>
        <w:t>; im Basisszenario um 0,15%. Der Vorteil ist geringer, falls konkurrierende Flexibilitätsoptionen verfügbar sind</w:t>
      </w:r>
      <w:r w:rsidR="00F64E3F">
        <w:t>,</w:t>
      </w:r>
      <w:r>
        <w:t xml:space="preserve"> und mit bis zu 0,</w:t>
      </w:r>
      <w:r w:rsidR="00735B03">
        <w:t>7</w:t>
      </w:r>
      <w:r>
        <w:t xml:space="preserve">% höher in den „grünen“ Szenarien. </w:t>
      </w:r>
    </w:p>
    <w:p w:rsidR="000D50A5" w:rsidRDefault="000D50A5" w:rsidP="00227125"/>
    <w:p w:rsidR="00735B03" w:rsidRDefault="000D50A5" w:rsidP="00227125">
      <w:r>
        <w:t>Die Systemkosten</w:t>
      </w:r>
      <w:r w:rsidR="00F64E3F">
        <w:t>ersparnis</w:t>
      </w:r>
      <w:r>
        <w:t xml:space="preserve"> ist auf </w:t>
      </w:r>
      <w:r w:rsidR="001F251A">
        <w:t>Änderungen des</w:t>
      </w:r>
      <w:r>
        <w:t xml:space="preserve"> optimalen Kraftwerkspark </w:t>
      </w:r>
      <w:r w:rsidR="001F251A">
        <w:t>und -</w:t>
      </w:r>
      <w:r>
        <w:t xml:space="preserve">einsatzes zurückzuführen. </w:t>
      </w:r>
      <w:r w:rsidR="009F1D67">
        <w:t>Eine Separierung dieser Effekte für das Basisszenario zeigt, dass Arbitrage-Möglichkeiten durch flexiblere Nachfrage den Kostenvorteil durch Änderunge</w:t>
      </w:r>
      <w:r w:rsidR="001F251A">
        <w:t xml:space="preserve">n im Kraftwerkspark dominieren </w:t>
      </w:r>
      <w:r w:rsidR="009F1D67">
        <w:t>(Abbildung</w:t>
      </w:r>
      <w:r w:rsidR="008C665A">
        <w:t xml:space="preserve"> 1</w:t>
      </w:r>
      <w:r w:rsidR="009F1D67">
        <w:t>).</w:t>
      </w:r>
    </w:p>
    <w:p w:rsidR="001F251A" w:rsidRDefault="00735B03" w:rsidP="00227125">
      <w:pPr>
        <w:rPr>
          <w:i/>
        </w:rPr>
      </w:pPr>
      <w:r>
        <w:rPr>
          <w:i/>
          <w:noProof/>
          <w:lang w:val="en-US" w:eastAsia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722668" cy="2784764"/>
            <wp:effectExtent l="0" t="0" r="1905" b="0"/>
            <wp:wrapSquare wrapText="bothSides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668" cy="2784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735B03" w:rsidRDefault="00735B03" w:rsidP="00227125">
      <w:pPr>
        <w:rPr>
          <w:i/>
        </w:rPr>
      </w:pPr>
    </w:p>
    <w:p w:rsidR="008C665A" w:rsidRPr="001F251A" w:rsidRDefault="008C665A" w:rsidP="00227125">
      <w:r w:rsidRPr="008C665A">
        <w:rPr>
          <w:i/>
        </w:rPr>
        <w:t xml:space="preserve">Abbildung 1: </w:t>
      </w:r>
      <w:r w:rsidR="003D3C6D">
        <w:rPr>
          <w:i/>
        </w:rPr>
        <w:t>Separierung der Treiber der Systemkostenersparnis</w:t>
      </w:r>
      <w:r w:rsidR="001F251A">
        <w:rPr>
          <w:i/>
        </w:rPr>
        <w:t>.</w:t>
      </w:r>
    </w:p>
    <w:p w:rsidR="001F251A" w:rsidRDefault="001F251A" w:rsidP="00227125">
      <w:pPr>
        <w:rPr>
          <w:i/>
        </w:rPr>
      </w:pPr>
    </w:p>
    <w:p w:rsidR="00B20C29" w:rsidRDefault="00B20C29" w:rsidP="00227125">
      <w:r>
        <w:t xml:space="preserve">Grundsätzlich </w:t>
      </w:r>
      <w:r>
        <w:t xml:space="preserve">lastet eine </w:t>
      </w:r>
      <w:r>
        <w:t>zeitlich flexible Stromnachfrage</w:t>
      </w:r>
      <w:r>
        <w:t xml:space="preserve"> </w:t>
      </w:r>
      <w:r>
        <w:t>Erzeugungstechnologien mit geringen variablen Kosten besser aus</w:t>
      </w:r>
      <w:r>
        <w:t xml:space="preserve">. Welche das sind, hängt von den Rahmenbedingungen ab. </w:t>
      </w:r>
      <w:r w:rsidR="00111C20">
        <w:t xml:space="preserve">Unter Basisannahmen führt die erhöhte Flexibilität zu einer besseren Auslastung von Kohlekraftwerken mit niedrigen variablen Kosten. Entsprechend steigen die </w:t>
      </w:r>
      <w:r w:rsidR="00111C20" w:rsidRPr="009D554A">
        <w:t>CO</w:t>
      </w:r>
      <w:r w:rsidR="00111C20" w:rsidRPr="009D554A">
        <w:rPr>
          <w:vertAlign w:val="subscript"/>
        </w:rPr>
        <w:t>2</w:t>
      </w:r>
      <w:r w:rsidR="003D3C6D">
        <w:t>-Emissionen</w:t>
      </w:r>
      <w:r w:rsidR="00111C20">
        <w:t>. Eine verstärkte Nutzung erneuerbarer Energ</w:t>
      </w:r>
      <w:bookmarkStart w:id="0" w:name="_GoBack"/>
      <w:bookmarkEnd w:id="0"/>
      <w:r w:rsidR="00111C20">
        <w:t xml:space="preserve">ien ergibt sich nur bei einem erhöhten </w:t>
      </w:r>
      <w:r w:rsidR="00111C20" w:rsidRPr="009D554A">
        <w:t>CO</w:t>
      </w:r>
      <w:r w:rsidR="00111C20" w:rsidRPr="009D554A">
        <w:rPr>
          <w:vertAlign w:val="subscript"/>
        </w:rPr>
        <w:t>2</w:t>
      </w:r>
      <w:r w:rsidR="00111C20">
        <w:t>-Preis oder falls ein höherer Anteil erneuerbarer Energien exogen vorgegeben wird – in diesem Fall führt der flexible Betrieb der Speicherheizungen zu einer geringeren Abregelung.</w:t>
      </w:r>
      <w:r>
        <w:t xml:space="preserve"> </w:t>
      </w:r>
    </w:p>
    <w:p w:rsidR="00B20C29" w:rsidRDefault="00B20C29" w:rsidP="00227125"/>
    <w:p w:rsidR="008C665A" w:rsidRDefault="00EF68F4" w:rsidP="00227125">
      <w:r>
        <w:t>Insgesamt ist der</w:t>
      </w:r>
      <w:r w:rsidR="00111C20">
        <w:t xml:space="preserve"> Effekt auf die Systemkosten relativ gering, weil die Heizperiode im Winterhalbjahr mit einer Zeit </w:t>
      </w:r>
      <w:r w:rsidR="001F251A">
        <w:t xml:space="preserve">hoher Nachfrage und </w:t>
      </w:r>
      <w:r w:rsidR="00111C20">
        <w:t>relativ geringen Dargebots an P</w:t>
      </w:r>
      <w:r>
        <w:t>hotovoltaik</w:t>
      </w:r>
      <w:r w:rsidR="00111C20">
        <w:t xml:space="preserve">-Strom einhergeht. </w:t>
      </w:r>
      <w:r w:rsidR="00F64E3F">
        <w:t>So bleiben die Strompreise auch mittelfristig im Winter nachts am geringsten und die zusätzliche Flexibilität der Stromnachfrage</w:t>
      </w:r>
      <w:r w:rsidR="003D3C6D">
        <w:t xml:space="preserve"> von Speicherheizungen, auch tagsüber laden zu können,</w:t>
      </w:r>
      <w:r w:rsidR="00F64E3F">
        <w:t xml:space="preserve"> hat einen geringen Effekt (Abbildung 2). </w:t>
      </w:r>
    </w:p>
    <w:p w:rsidR="00111C20" w:rsidRDefault="00735B03" w:rsidP="00227125">
      <w:r>
        <w:rPr>
          <w:i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434340</wp:posOffset>
            </wp:positionH>
            <wp:positionV relativeFrom="paragraph">
              <wp:posOffset>199019</wp:posOffset>
            </wp:positionV>
            <wp:extent cx="4891566" cy="2660628"/>
            <wp:effectExtent l="0" t="0" r="4445" b="698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66" cy="2660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C6D" w:rsidRDefault="003D3C6D" w:rsidP="00F64E3F">
      <w:pPr>
        <w:rPr>
          <w:i/>
        </w:rPr>
      </w:pPr>
    </w:p>
    <w:p w:rsidR="00F64E3F" w:rsidRPr="008C665A" w:rsidRDefault="00F64E3F" w:rsidP="00F64E3F">
      <w:pPr>
        <w:rPr>
          <w:i/>
        </w:rPr>
      </w:pPr>
      <w:r>
        <w:rPr>
          <w:i/>
        </w:rPr>
        <w:t xml:space="preserve">Abbildung 2: </w:t>
      </w:r>
      <w:r w:rsidR="003D3C6D">
        <w:rPr>
          <w:i/>
        </w:rPr>
        <w:t>Durchschnittliche stündliche Strompreise im Winter (Heizperiode) und Sommer.</w:t>
      </w:r>
    </w:p>
    <w:p w:rsidR="005E4D4F" w:rsidRDefault="005E4D4F" w:rsidP="00227125"/>
    <w:sectPr w:rsid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711" w:rsidRDefault="00B87711">
      <w:r>
        <w:separator/>
      </w:r>
    </w:p>
  </w:endnote>
  <w:endnote w:type="continuationSeparator" w:id="0">
    <w:p w:rsidR="00B87711" w:rsidRDefault="00B8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711" w:rsidRDefault="00B87711">
      <w:r>
        <w:separator/>
      </w:r>
    </w:p>
  </w:footnote>
  <w:footnote w:type="continuationSeparator" w:id="0">
    <w:p w:rsidR="00B87711" w:rsidRDefault="00B87711">
      <w:r>
        <w:continuationSeparator/>
      </w:r>
    </w:p>
  </w:footnote>
  <w:footnote w:id="1">
    <w:p w:rsidR="00D53E86" w:rsidRPr="00FB69AE" w:rsidRDefault="00D53E86" w:rsidP="002014D3">
      <w:r w:rsidRPr="00A115D2">
        <w:rPr>
          <w:rStyle w:val="Funotenzeichen"/>
        </w:rPr>
        <w:footnoteRef/>
      </w:r>
      <w:r w:rsidRPr="00D53E86">
        <w:t xml:space="preserve"> </w:t>
      </w:r>
      <w:r w:rsidR="00DB4398">
        <w:t xml:space="preserve">Mohrenstr. 58, 10117 Berlin, Deutschland, +49 30 89789 453, </w:t>
      </w:r>
      <w:hyperlink r:id="rId1" w:history="1">
        <w:r w:rsidR="00DB4398" w:rsidRPr="00B6609B">
          <w:rPr>
            <w:rStyle w:val="Hyperlink"/>
          </w:rPr>
          <w:t>azerrahn@diw.de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4F"/>
    <w:rsid w:val="00010E92"/>
    <w:rsid w:val="000746CE"/>
    <w:rsid w:val="000D50A5"/>
    <w:rsid w:val="00111C20"/>
    <w:rsid w:val="001F251A"/>
    <w:rsid w:val="002014D3"/>
    <w:rsid w:val="00227125"/>
    <w:rsid w:val="00262FD5"/>
    <w:rsid w:val="002946B8"/>
    <w:rsid w:val="00350F98"/>
    <w:rsid w:val="003B676F"/>
    <w:rsid w:val="003C28FE"/>
    <w:rsid w:val="003D3C6D"/>
    <w:rsid w:val="00483B87"/>
    <w:rsid w:val="005B1ADB"/>
    <w:rsid w:val="005E4D4F"/>
    <w:rsid w:val="00735B03"/>
    <w:rsid w:val="007378C8"/>
    <w:rsid w:val="00741EC0"/>
    <w:rsid w:val="007856F4"/>
    <w:rsid w:val="00803917"/>
    <w:rsid w:val="008B5145"/>
    <w:rsid w:val="008C665A"/>
    <w:rsid w:val="00950726"/>
    <w:rsid w:val="009D554A"/>
    <w:rsid w:val="009F1D67"/>
    <w:rsid w:val="00A07737"/>
    <w:rsid w:val="00A156E4"/>
    <w:rsid w:val="00A325F3"/>
    <w:rsid w:val="00A6148D"/>
    <w:rsid w:val="00B11822"/>
    <w:rsid w:val="00B20C29"/>
    <w:rsid w:val="00B87711"/>
    <w:rsid w:val="00BF05FA"/>
    <w:rsid w:val="00C24420"/>
    <w:rsid w:val="00CE1A70"/>
    <w:rsid w:val="00D056A5"/>
    <w:rsid w:val="00D53E86"/>
    <w:rsid w:val="00D736F8"/>
    <w:rsid w:val="00DB3AAF"/>
    <w:rsid w:val="00DB4398"/>
    <w:rsid w:val="00E520E6"/>
    <w:rsid w:val="00EF68F4"/>
    <w:rsid w:val="00F64E3F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F8BF1D-0721-4FB0-9731-B1CB7579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Hyperlink">
    <w:name w:val="Hyperlink"/>
    <w:uiPriority w:val="99"/>
    <w:unhideWhenUsed/>
    <w:rsid w:val="00DB4398"/>
    <w:rPr>
      <w:color w:val="0563C1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zerrahn@diw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4545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mailto:azerrahn@diw.de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Zerrahn, Alexander</cp:lastModifiedBy>
  <cp:revision>4</cp:revision>
  <dcterms:created xsi:type="dcterms:W3CDTF">2019-01-18T09:47:00Z</dcterms:created>
  <dcterms:modified xsi:type="dcterms:W3CDTF">2019-01-18T10:08:00Z</dcterms:modified>
</cp:coreProperties>
</file>