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9D" w:rsidRDefault="00E54B9D" w:rsidP="00A156E4">
      <w:pPr>
        <w:pStyle w:val="AutorenOrganisation"/>
        <w:rPr>
          <w:b/>
          <w:snapToGrid w:val="0"/>
          <w:color w:val="auto"/>
          <w:spacing w:val="0"/>
          <w:kern w:val="28"/>
          <w:sz w:val="32"/>
          <w:szCs w:val="20"/>
          <w:lang w:val="en-US" w:eastAsia="en-US"/>
        </w:rPr>
      </w:pPr>
      <w:r w:rsidRPr="00E54B9D">
        <w:rPr>
          <w:b/>
          <w:snapToGrid w:val="0"/>
          <w:color w:val="auto"/>
          <w:spacing w:val="0"/>
          <w:kern w:val="28"/>
          <w:sz w:val="32"/>
          <w:szCs w:val="20"/>
          <w:lang w:val="en-US" w:eastAsia="en-US"/>
        </w:rPr>
        <w:t>DEMAND RESPONSE OF INDUSTRIAL ENERGY CUSTOMERS – TWO CASE STUDIES</w:t>
      </w:r>
    </w:p>
    <w:p w:rsidR="00BF05FA" w:rsidRPr="00E54B9D" w:rsidRDefault="00E54B9D" w:rsidP="00A156E4">
      <w:pPr>
        <w:pStyle w:val="AutorenOrganisation"/>
      </w:pPr>
      <w:r w:rsidRPr="00E54B9D">
        <w:t>Industrie</w:t>
      </w:r>
    </w:p>
    <w:p w:rsidR="00E54B9D" w:rsidRPr="00E54B9D" w:rsidRDefault="00E54B9D" w:rsidP="00E54B9D">
      <w:pPr>
        <w:pStyle w:val="Autoren"/>
        <w:rPr>
          <w:b w:val="0"/>
          <w:vertAlign w:val="superscript"/>
        </w:rPr>
      </w:pPr>
      <w:r w:rsidRPr="00E54B9D">
        <w:rPr>
          <w:b w:val="0"/>
        </w:rPr>
        <w:t>Daniel Schwabeneder</w:t>
      </w:r>
      <w:r w:rsidRPr="00E54B9D">
        <w:rPr>
          <w:rStyle w:val="Funotenzeichen"/>
          <w:b w:val="0"/>
        </w:rPr>
        <w:footnoteReference w:id="1"/>
      </w:r>
      <w:r w:rsidRPr="00E54B9D">
        <w:rPr>
          <w:b w:val="0"/>
        </w:rPr>
        <w:t>, Andreas Fleischhacker</w:t>
      </w:r>
      <w:r w:rsidRPr="00E54B9D">
        <w:rPr>
          <w:b w:val="0"/>
          <w:vertAlign w:val="superscript"/>
        </w:rPr>
        <w:t>1</w:t>
      </w:r>
      <w:r w:rsidRPr="00E54B9D">
        <w:rPr>
          <w:b w:val="0"/>
        </w:rPr>
        <w:t>, Georg Lettner</w:t>
      </w:r>
      <w:r w:rsidRPr="00E54B9D">
        <w:rPr>
          <w:b w:val="0"/>
          <w:vertAlign w:val="superscript"/>
        </w:rPr>
        <w:t>1</w:t>
      </w:r>
    </w:p>
    <w:p w:rsidR="00E54B9D" w:rsidRPr="00ED3438" w:rsidRDefault="00E54B9D" w:rsidP="00E54B9D">
      <w:pPr>
        <w:pStyle w:val="berschrift3"/>
        <w:rPr>
          <w:lang w:val="en-US"/>
        </w:rPr>
      </w:pPr>
      <w:r>
        <w:rPr>
          <w:lang w:val="en-US"/>
        </w:rPr>
        <w:t>Motivation</w:t>
      </w:r>
    </w:p>
    <w:p w:rsidR="00E54B9D" w:rsidRDefault="00E54B9D" w:rsidP="00E54B9D">
      <w:pPr>
        <w:rPr>
          <w:lang w:val="en-US"/>
        </w:rPr>
      </w:pPr>
      <w:r>
        <w:rPr>
          <w:lang w:val="en-US"/>
        </w:rPr>
        <w:t xml:space="preserve">The work presented here is part of the European Union’s Horizon 2020 project </w:t>
      </w:r>
      <w:proofErr w:type="spellStart"/>
      <w:r>
        <w:rPr>
          <w:lang w:val="en-US"/>
        </w:rPr>
        <w:t>BestRES</w:t>
      </w:r>
      <w:proofErr w:type="spellEnd"/>
      <w:r>
        <w:rPr>
          <w:lang w:val="en-US"/>
        </w:rPr>
        <w:t> </w:t>
      </w:r>
      <w:r w:rsidRPr="00F068E6">
        <w:rPr>
          <w:noProof/>
          <w:lang w:val="en-US"/>
        </w:rPr>
        <w:t>[1]</w:t>
      </w:r>
      <w:r>
        <w:rPr>
          <w:lang w:val="en-US"/>
        </w:rPr>
        <w:t xml:space="preserve">. In the </w:t>
      </w:r>
      <w:proofErr w:type="spellStart"/>
      <w:r>
        <w:rPr>
          <w:lang w:val="en-US"/>
        </w:rPr>
        <w:t>BestRES</w:t>
      </w:r>
      <w:proofErr w:type="spellEnd"/>
      <w:r>
        <w:rPr>
          <w:lang w:val="en-US"/>
        </w:rPr>
        <w:t xml:space="preserve"> </w:t>
      </w:r>
      <w:proofErr w:type="gramStart"/>
      <w:r>
        <w:rPr>
          <w:lang w:val="en-US"/>
        </w:rPr>
        <w:t>project</w:t>
      </w:r>
      <w:proofErr w:type="gramEnd"/>
      <w:r>
        <w:rPr>
          <w:lang w:val="en-US"/>
        </w:rPr>
        <w:t xml:space="preserve"> we investigate current barriers for energy aggregators and aim to improve their role in future electricity market designs. In the first stage, the project is focusing on existing European aggregator business models (BM) taking into account technical, economic, environmental and social benefits. In the second stage, improved business models </w:t>
      </w:r>
      <w:proofErr w:type="gramStart"/>
      <w:r>
        <w:rPr>
          <w:lang w:val="en-US"/>
        </w:rPr>
        <w:t>are developed</w:t>
      </w:r>
      <w:proofErr w:type="gramEnd"/>
      <w:r>
        <w:rPr>
          <w:lang w:val="en-US"/>
        </w:rPr>
        <w:t xml:space="preserve"> considering different market designs in various European countries with a focus on competitiveness. A broad variety of improved BMs </w:t>
      </w:r>
      <w:proofErr w:type="gramStart"/>
      <w:r>
        <w:rPr>
          <w:lang w:val="en-US"/>
        </w:rPr>
        <w:t>has been developed</w:t>
      </w:r>
      <w:proofErr w:type="gramEnd"/>
      <w:r>
        <w:rPr>
          <w:lang w:val="en-US"/>
        </w:rPr>
        <w:t xml:space="preserve"> considering RES generation or demand </w:t>
      </w:r>
      <w:proofErr w:type="spellStart"/>
      <w:r>
        <w:rPr>
          <w:lang w:val="en-US"/>
        </w:rPr>
        <w:t>flexibilzation</w:t>
      </w:r>
      <w:proofErr w:type="spellEnd"/>
      <w:r>
        <w:rPr>
          <w:lang w:val="en-US"/>
        </w:rPr>
        <w:t xml:space="preserve"> of residential and industrial customers. In this </w:t>
      </w:r>
      <w:proofErr w:type="gramStart"/>
      <w:r>
        <w:rPr>
          <w:lang w:val="en-US"/>
        </w:rPr>
        <w:t>work</w:t>
      </w:r>
      <w:proofErr w:type="gramEnd"/>
      <w:r>
        <w:rPr>
          <w:lang w:val="en-US"/>
        </w:rPr>
        <w:t xml:space="preserve"> we present the results and lessons learned from two aggregator BMs focusing on medium- to large-scale energy consumers:</w:t>
      </w:r>
    </w:p>
    <w:p w:rsidR="00E54B9D" w:rsidRDefault="00E54B9D" w:rsidP="00E54B9D">
      <w:pPr>
        <w:pStyle w:val="Listenabsatz"/>
        <w:numPr>
          <w:ilvl w:val="0"/>
          <w:numId w:val="5"/>
        </w:numPr>
        <w:rPr>
          <w:lang w:val="en-US"/>
        </w:rPr>
      </w:pPr>
      <w:r>
        <w:rPr>
          <w:lang w:val="en-US"/>
        </w:rPr>
        <w:t>Activation of end users’ flexibility to reduce wholesale market cost or imbalances in Portugal</w:t>
      </w:r>
    </w:p>
    <w:p w:rsidR="00E54B9D" w:rsidRPr="008951E4" w:rsidRDefault="00E54B9D" w:rsidP="00E54B9D">
      <w:pPr>
        <w:pStyle w:val="Listenabsatz"/>
        <w:numPr>
          <w:ilvl w:val="0"/>
          <w:numId w:val="5"/>
        </w:numPr>
        <w:rPr>
          <w:lang w:val="en-US"/>
        </w:rPr>
      </w:pPr>
      <w:r>
        <w:rPr>
          <w:lang w:val="en-US"/>
        </w:rPr>
        <w:t>Using the flexibility of energy customers as third party in Belgium</w:t>
      </w:r>
    </w:p>
    <w:p w:rsidR="00E54B9D" w:rsidRDefault="00E54B9D" w:rsidP="00E54B9D">
      <w:pPr>
        <w:pStyle w:val="berschrift3"/>
        <w:rPr>
          <w:lang w:val="en-US"/>
        </w:rPr>
      </w:pPr>
      <w:r>
        <w:rPr>
          <w:lang w:val="en-US"/>
        </w:rPr>
        <w:t>Methodology</w:t>
      </w:r>
    </w:p>
    <w:p w:rsidR="00E54B9D" w:rsidRDefault="00E54B9D" w:rsidP="00E54B9D">
      <w:pPr>
        <w:rPr>
          <w:lang w:val="en-US"/>
        </w:rPr>
      </w:pPr>
      <w:r>
        <w:rPr>
          <w:lang w:val="en-US"/>
        </w:rPr>
        <w:t xml:space="preserve">For an in-depth analysis of the BMs we use the modeling and simulation library </w:t>
      </w:r>
      <w:proofErr w:type="spellStart"/>
      <w:r>
        <w:rPr>
          <w:lang w:val="en-US"/>
        </w:rPr>
        <w:t>Femto</w:t>
      </w:r>
      <w:proofErr w:type="spellEnd"/>
      <w:r>
        <w:rPr>
          <w:lang w:val="en-US"/>
        </w:rPr>
        <w:t>, which is developed at the Energy Economics Group, TU Wien, and written in Julia </w:t>
      </w:r>
      <w:r w:rsidRPr="00F068E6">
        <w:rPr>
          <w:noProof/>
          <w:lang w:val="en-US"/>
        </w:rPr>
        <w:t>[2]</w:t>
      </w:r>
      <w:r>
        <w:rPr>
          <w:lang w:val="en-US"/>
        </w:rPr>
        <w:t xml:space="preserve"> using the </w:t>
      </w:r>
      <w:proofErr w:type="spellStart"/>
      <w:r>
        <w:rPr>
          <w:lang w:val="en-US"/>
        </w:rPr>
        <w:t>JuMP</w:t>
      </w:r>
      <w:proofErr w:type="spellEnd"/>
      <w:r>
        <w:rPr>
          <w:lang w:val="en-US"/>
        </w:rPr>
        <w:t> </w:t>
      </w:r>
      <w:r w:rsidRPr="00F068E6">
        <w:rPr>
          <w:noProof/>
          <w:lang w:val="en-US"/>
        </w:rPr>
        <w:t>[3]</w:t>
      </w:r>
      <w:r>
        <w:rPr>
          <w:lang w:val="en-US"/>
        </w:rPr>
        <w:t xml:space="preserve"> toolbox. This library consists of mixed-integer linear optimization models simulating the operation and dispatch of an aggregator’s customer portfolio on reserve, day-ahead and intraday markets.</w:t>
      </w:r>
    </w:p>
    <w:p w:rsidR="00E54B9D" w:rsidRDefault="00E54B9D" w:rsidP="00E54B9D">
      <w:pPr>
        <w:rPr>
          <w:lang w:val="en-US"/>
        </w:rPr>
      </w:pPr>
      <w:r>
        <w:rPr>
          <w:lang w:val="en-US"/>
        </w:rPr>
        <w:t xml:space="preserve">In general, three types of aggregator customers </w:t>
      </w:r>
      <w:proofErr w:type="gramStart"/>
      <w:r>
        <w:rPr>
          <w:lang w:val="en-US"/>
        </w:rPr>
        <w:t>can be considered</w:t>
      </w:r>
      <w:proofErr w:type="gramEnd"/>
      <w:r>
        <w:rPr>
          <w:lang w:val="en-US"/>
        </w:rPr>
        <w:t xml:space="preserve"> for models created with </w:t>
      </w:r>
      <w:proofErr w:type="spellStart"/>
      <w:r>
        <w:rPr>
          <w:lang w:val="en-US"/>
        </w:rPr>
        <w:t>Femto</w:t>
      </w:r>
      <w:proofErr w:type="spellEnd"/>
      <w:r>
        <w:rPr>
          <w:lang w:val="en-US"/>
        </w:rPr>
        <w:t xml:space="preserve">: batteries, renewable energy producers and flexible loads. For the work presented </w:t>
      </w:r>
      <w:proofErr w:type="gramStart"/>
      <w:r>
        <w:rPr>
          <w:lang w:val="en-US"/>
        </w:rPr>
        <w:t>here</w:t>
      </w:r>
      <w:proofErr w:type="gramEnd"/>
      <w:r>
        <w:rPr>
          <w:lang w:val="en-US"/>
        </w:rPr>
        <w:t xml:space="preserve"> we focus on flexible loads. They </w:t>
      </w:r>
      <w:proofErr w:type="gramStart"/>
      <w:r>
        <w:rPr>
          <w:lang w:val="en-US"/>
        </w:rPr>
        <w:t>are described</w:t>
      </w:r>
      <w:proofErr w:type="gramEnd"/>
      <w:r>
        <w:rPr>
          <w:lang w:val="en-US"/>
        </w:rPr>
        <w:t xml:space="preserve"> by their load profiles and variables for load increase and decrease, respectively. Several flexibility characteristics, like e.g. the maximal number or the maximal duration of flexibility activations, </w:t>
      </w:r>
      <w:proofErr w:type="gramStart"/>
      <w:r>
        <w:rPr>
          <w:lang w:val="en-US"/>
        </w:rPr>
        <w:t>are modeled</w:t>
      </w:r>
      <w:proofErr w:type="gramEnd"/>
      <w:r>
        <w:rPr>
          <w:lang w:val="en-US"/>
        </w:rPr>
        <w:t xml:space="preserve"> via auxiliary binary variables.</w:t>
      </w:r>
    </w:p>
    <w:p w:rsidR="00E54B9D" w:rsidRPr="00464B95" w:rsidRDefault="00E54B9D" w:rsidP="00E54B9D">
      <w:pPr>
        <w:rPr>
          <w:lang w:val="en-US"/>
        </w:rPr>
      </w:pPr>
      <w:r>
        <w:rPr>
          <w:lang w:val="en-US"/>
        </w:rPr>
        <w:t xml:space="preserve">Models that </w:t>
      </w:r>
      <w:proofErr w:type="gramStart"/>
      <w:r>
        <w:rPr>
          <w:lang w:val="en-US"/>
        </w:rPr>
        <w:t>can be built</w:t>
      </w:r>
      <w:proofErr w:type="gramEnd"/>
      <w:r>
        <w:rPr>
          <w:lang w:val="en-US"/>
        </w:rPr>
        <w:t xml:space="preserve"> using this framework generally consist of three stages. In the first stage the bid size and price for reserve market auctions is determined. Here, different degrees of foresight and information about underlying merit order curves or opportunity revenues on spot markets </w:t>
      </w:r>
      <w:proofErr w:type="gramStart"/>
      <w:r>
        <w:rPr>
          <w:lang w:val="en-US"/>
        </w:rPr>
        <w:t>can be simulated</w:t>
      </w:r>
      <w:proofErr w:type="gramEnd"/>
      <w:r>
        <w:rPr>
          <w:lang w:val="en-US"/>
        </w:rPr>
        <w:t xml:space="preserve"> via different objective functions. In the second stage, the portfolio’s operation </w:t>
      </w:r>
      <w:proofErr w:type="gramStart"/>
      <w:r>
        <w:rPr>
          <w:lang w:val="en-US"/>
        </w:rPr>
        <w:t>is optimized</w:t>
      </w:r>
      <w:proofErr w:type="gramEnd"/>
      <w:r>
        <w:rPr>
          <w:lang w:val="en-US"/>
        </w:rPr>
        <w:t xml:space="preserve"> in terms of spot market prices respecting possible reserve market constraints. Finally, reserve market activations are simulated and intraday market trades </w:t>
      </w:r>
      <w:proofErr w:type="gramStart"/>
      <w:r>
        <w:rPr>
          <w:lang w:val="en-US"/>
        </w:rPr>
        <w:t>are used</w:t>
      </w:r>
      <w:proofErr w:type="gramEnd"/>
      <w:r>
        <w:rPr>
          <w:lang w:val="en-US"/>
        </w:rPr>
        <w:t xml:space="preserve"> to balance shift-able loads.</w:t>
      </w:r>
    </w:p>
    <w:p w:rsidR="00E54B9D" w:rsidRDefault="00E54B9D" w:rsidP="00E54B9D">
      <w:pPr>
        <w:pStyle w:val="berschrift3"/>
        <w:rPr>
          <w:lang w:val="en-US"/>
        </w:rPr>
      </w:pPr>
      <w:r>
        <w:rPr>
          <w:lang w:val="en-US"/>
        </w:rPr>
        <w:t>Results and Conclusions</w:t>
      </w:r>
    </w:p>
    <w:p w:rsidR="00E54B9D" w:rsidRDefault="00E54B9D" w:rsidP="00E54B9D">
      <w:pPr>
        <w:rPr>
          <w:lang w:val="en-US"/>
        </w:rPr>
      </w:pPr>
      <w:r>
        <w:rPr>
          <w:lang w:val="en-US"/>
        </w:rPr>
        <w:t xml:space="preserve">The results in both case studies indicate that demand side </w:t>
      </w:r>
      <w:proofErr w:type="spellStart"/>
      <w:r>
        <w:rPr>
          <w:lang w:val="en-US"/>
        </w:rPr>
        <w:t>flexibilization</w:t>
      </w:r>
      <w:proofErr w:type="spellEnd"/>
      <w:r>
        <w:rPr>
          <w:lang w:val="en-US"/>
        </w:rPr>
        <w:t xml:space="preserve"> can provide economic benefits for medium- to large-scale energy consumers. One interesting finding in the first case study is that cost reduction on the day-ahead spot market does not automatically go hand in hand with a reduction of the average CO2 emissions in the purchased energy mix.</w:t>
      </w:r>
    </w:p>
    <w:p w:rsidR="00E54B9D" w:rsidRPr="00464B95" w:rsidRDefault="00E54B9D" w:rsidP="00E54B9D">
      <w:pPr>
        <w:rPr>
          <w:lang w:val="en-US"/>
        </w:rPr>
      </w:pPr>
      <w:r>
        <w:rPr>
          <w:lang w:val="en-US"/>
        </w:rPr>
        <w:t>The second case study shows that the services of a third party aggregator could provide economic value for energy customers with flexible loads. However, in the current legal framework in Belgium this requires bilateral contracts with the respective energy supplier, which often constitutes a significant barrier for BM implementation.</w:t>
      </w:r>
    </w:p>
    <w:p w:rsidR="00E54B9D" w:rsidRPr="00F068E6" w:rsidRDefault="00E54B9D" w:rsidP="00E54B9D">
      <w:pPr>
        <w:pStyle w:val="berschrift1"/>
        <w:rPr>
          <w:sz w:val="22"/>
        </w:rPr>
      </w:pPr>
      <w:r>
        <w:rPr>
          <w:sz w:val="22"/>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
        <w:gridCol w:w="8774"/>
      </w:tblGrid>
      <w:tr w:rsidR="00E54B9D" w:rsidTr="00C76A8F">
        <w:trPr>
          <w:tblCellSpacing w:w="15" w:type="dxa"/>
        </w:trPr>
        <w:tc>
          <w:tcPr>
            <w:tcW w:w="50" w:type="pct"/>
            <w:hideMark/>
          </w:tcPr>
          <w:p w:rsidR="00E54B9D" w:rsidRDefault="00E54B9D" w:rsidP="00C76A8F">
            <w:pPr>
              <w:pStyle w:val="Literaturverzeichnis"/>
              <w:rPr>
                <w:noProof/>
                <w:sz w:val="24"/>
              </w:rPr>
            </w:pPr>
            <w:r>
              <w:rPr>
                <w:noProof/>
              </w:rPr>
              <w:t xml:space="preserve">[1] </w:t>
            </w:r>
          </w:p>
        </w:tc>
        <w:tc>
          <w:tcPr>
            <w:tcW w:w="0" w:type="auto"/>
            <w:hideMark/>
          </w:tcPr>
          <w:p w:rsidR="00E54B9D" w:rsidRDefault="00E54B9D" w:rsidP="00E54B9D">
            <w:pPr>
              <w:pStyle w:val="Literaturverzeichnis"/>
              <w:spacing w:line="240" w:lineRule="auto"/>
              <w:rPr>
                <w:noProof/>
              </w:rPr>
            </w:pPr>
            <w:r w:rsidRPr="00F068E6">
              <w:rPr>
                <w:noProof/>
                <w:lang w:val="en-US"/>
              </w:rPr>
              <w:t xml:space="preserve">„BestRES: Best practices and implementation of innovative business models for Renewable Energy Aggregators,“ [Online]. </w:t>
            </w:r>
            <w:r>
              <w:rPr>
                <w:noProof/>
              </w:rPr>
              <w:t>Available: http://bestres.eu.</w:t>
            </w:r>
          </w:p>
        </w:tc>
      </w:tr>
      <w:tr w:rsidR="00E54B9D" w:rsidRPr="005262CA" w:rsidTr="00C76A8F">
        <w:trPr>
          <w:tblCellSpacing w:w="15" w:type="dxa"/>
        </w:trPr>
        <w:tc>
          <w:tcPr>
            <w:tcW w:w="50" w:type="pct"/>
            <w:hideMark/>
          </w:tcPr>
          <w:p w:rsidR="00E54B9D" w:rsidRDefault="00E54B9D" w:rsidP="00C76A8F">
            <w:pPr>
              <w:pStyle w:val="Literaturverzeichnis"/>
              <w:rPr>
                <w:noProof/>
              </w:rPr>
            </w:pPr>
            <w:r>
              <w:rPr>
                <w:noProof/>
              </w:rPr>
              <w:t xml:space="preserve">[2] </w:t>
            </w:r>
          </w:p>
        </w:tc>
        <w:tc>
          <w:tcPr>
            <w:tcW w:w="0" w:type="auto"/>
            <w:hideMark/>
          </w:tcPr>
          <w:p w:rsidR="00E54B9D" w:rsidRPr="00F068E6" w:rsidRDefault="00E54B9D" w:rsidP="00E54B9D">
            <w:pPr>
              <w:pStyle w:val="Literaturverzeichnis"/>
              <w:spacing w:line="240" w:lineRule="auto"/>
              <w:rPr>
                <w:noProof/>
                <w:lang w:val="en-US"/>
              </w:rPr>
            </w:pPr>
            <w:r w:rsidRPr="00F068E6">
              <w:rPr>
                <w:noProof/>
                <w:lang w:val="en-US"/>
              </w:rPr>
              <w:t xml:space="preserve">J. Bezanson, A. Edelman, S. Karpinski und V. B. Shah, „Julia: A Fresh Approach to Numerical Computing,“ </w:t>
            </w:r>
            <w:r w:rsidRPr="00F068E6">
              <w:rPr>
                <w:i/>
                <w:iCs/>
                <w:noProof/>
                <w:lang w:val="en-US"/>
              </w:rPr>
              <w:t xml:space="preserve">SIAM Review: 59, </w:t>
            </w:r>
            <w:r w:rsidRPr="00F068E6">
              <w:rPr>
                <w:noProof/>
                <w:lang w:val="en-US"/>
              </w:rPr>
              <w:t xml:space="preserve">p. 65–98, 2017. </w:t>
            </w:r>
          </w:p>
        </w:tc>
      </w:tr>
      <w:tr w:rsidR="00E54B9D" w:rsidRPr="005262CA" w:rsidTr="00C76A8F">
        <w:trPr>
          <w:tblCellSpacing w:w="15" w:type="dxa"/>
        </w:trPr>
        <w:tc>
          <w:tcPr>
            <w:tcW w:w="50" w:type="pct"/>
            <w:hideMark/>
          </w:tcPr>
          <w:p w:rsidR="00E54B9D" w:rsidRDefault="00E54B9D" w:rsidP="00C76A8F">
            <w:pPr>
              <w:pStyle w:val="Literaturverzeichnis"/>
              <w:rPr>
                <w:noProof/>
              </w:rPr>
            </w:pPr>
            <w:r>
              <w:rPr>
                <w:noProof/>
              </w:rPr>
              <w:t xml:space="preserve">[3] </w:t>
            </w:r>
          </w:p>
        </w:tc>
        <w:tc>
          <w:tcPr>
            <w:tcW w:w="0" w:type="auto"/>
            <w:hideMark/>
          </w:tcPr>
          <w:p w:rsidR="00E54B9D" w:rsidRPr="00F068E6" w:rsidRDefault="00E54B9D" w:rsidP="00E54B9D">
            <w:pPr>
              <w:pStyle w:val="Literaturverzeichnis"/>
              <w:spacing w:line="240" w:lineRule="auto"/>
              <w:rPr>
                <w:noProof/>
                <w:lang w:val="en-US"/>
              </w:rPr>
            </w:pPr>
            <w:r w:rsidRPr="00F068E6">
              <w:rPr>
                <w:noProof/>
                <w:lang w:val="en-US"/>
              </w:rPr>
              <w:t xml:space="preserve">I. Dunning, J. Huchette und M. Lubin, „JuMP: A Modeling Language for Mathematical Optimization,“ </w:t>
            </w:r>
            <w:r w:rsidRPr="00F068E6">
              <w:rPr>
                <w:i/>
                <w:iCs/>
                <w:noProof/>
                <w:lang w:val="en-US"/>
              </w:rPr>
              <w:t xml:space="preserve">SIAM Review: 59, </w:t>
            </w:r>
            <w:r w:rsidRPr="00F068E6">
              <w:rPr>
                <w:noProof/>
                <w:lang w:val="en-US"/>
              </w:rPr>
              <w:t xml:space="preserve">pp. 295-320, 2017. </w:t>
            </w:r>
          </w:p>
        </w:tc>
      </w:tr>
    </w:tbl>
    <w:p w:rsidR="005E4D4F" w:rsidRPr="00E54B9D" w:rsidRDefault="005E4D4F" w:rsidP="00C4646E">
      <w:pPr>
        <w:pStyle w:val="Literatur"/>
        <w:ind w:left="0" w:firstLine="0"/>
        <w:rPr>
          <w:lang w:val="en-US"/>
        </w:rPr>
      </w:pPr>
      <w:bookmarkStart w:id="0" w:name="_GoBack"/>
      <w:bookmarkEnd w:id="0"/>
    </w:p>
    <w:sectPr w:rsidR="005E4D4F" w:rsidRPr="00E54B9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1E" w:rsidRDefault="00996C1E">
      <w:r>
        <w:separator/>
      </w:r>
    </w:p>
  </w:endnote>
  <w:endnote w:type="continuationSeparator" w:id="0">
    <w:p w:rsidR="00996C1E" w:rsidRDefault="0099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1E" w:rsidRDefault="00996C1E">
      <w:r>
        <w:separator/>
      </w:r>
    </w:p>
  </w:footnote>
  <w:footnote w:type="continuationSeparator" w:id="0">
    <w:p w:rsidR="00996C1E" w:rsidRDefault="00996C1E">
      <w:r>
        <w:continuationSeparator/>
      </w:r>
    </w:p>
  </w:footnote>
  <w:footnote w:id="1">
    <w:p w:rsidR="00E54B9D" w:rsidRPr="0097280D" w:rsidRDefault="00E54B9D" w:rsidP="00E54B9D">
      <w:pPr>
        <w:pStyle w:val="Funotentext"/>
      </w:pPr>
      <w:r>
        <w:rPr>
          <w:rStyle w:val="Funotenzeichen"/>
        </w:rPr>
        <w:footnoteRef/>
      </w:r>
      <w:r>
        <w:tab/>
      </w:r>
      <w:proofErr w:type="spellStart"/>
      <w:r>
        <w:t>Energy</w:t>
      </w:r>
      <w:proofErr w:type="spellEnd"/>
      <w:r>
        <w:t xml:space="preserve"> Economics Group </w:t>
      </w:r>
      <w:r w:rsidRPr="0097280D">
        <w:t>/</w:t>
      </w:r>
      <w:r>
        <w:t xml:space="preserve"> TU Wien</w:t>
      </w:r>
      <w:r w:rsidRPr="0097280D">
        <w:t xml:space="preserve">, </w:t>
      </w:r>
      <w:proofErr w:type="spellStart"/>
      <w:r>
        <w:t>Gußhausstraße</w:t>
      </w:r>
      <w:proofErr w:type="spellEnd"/>
      <w:r>
        <w:t xml:space="preserve"> </w:t>
      </w:r>
      <w:r w:rsidRPr="00BF480E">
        <w:t>25-29/E370-3</w:t>
      </w:r>
      <w:r w:rsidRPr="0097280D">
        <w:t xml:space="preserve">, </w:t>
      </w:r>
      <w:r w:rsidRPr="00BF480E">
        <w:t>+43-(0)1-58801-37037</w:t>
      </w:r>
      <w:r>
        <w:t>5</w:t>
      </w:r>
      <w:r w:rsidRPr="0097280D">
        <w:t xml:space="preserve">, </w:t>
      </w:r>
      <w:r>
        <w:t>{</w:t>
      </w:r>
      <w:proofErr w:type="spellStart"/>
      <w:r>
        <w:t>schwabeneder</w:t>
      </w:r>
      <w:proofErr w:type="spellEnd"/>
      <w:r>
        <w:t xml:space="preserve">, </w:t>
      </w:r>
      <w:proofErr w:type="spellStart"/>
      <w:r>
        <w:t>fleischhacker</w:t>
      </w:r>
      <w:proofErr w:type="spellEnd"/>
      <w:r>
        <w:t xml:space="preserve">, </w:t>
      </w:r>
      <w:proofErr w:type="spellStart"/>
      <w:r>
        <w:t>lettner</w:t>
      </w:r>
      <w:proofErr w:type="spellEnd"/>
      <w:r>
        <w:t>}@eeg.tuwien.ac.at</w:t>
      </w:r>
      <w:r w:rsidRPr="0097280D">
        <w:t xml:space="preserve">, </w:t>
      </w:r>
      <w:r w:rsidRPr="00BF480E">
        <w:t>www.eeg.tuwien.ac.at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3B13B4B"/>
    <w:multiLevelType w:val="hybridMultilevel"/>
    <w:tmpl w:val="F8D6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2014D3"/>
    <w:rsid w:val="00227125"/>
    <w:rsid w:val="00262FD5"/>
    <w:rsid w:val="002946B8"/>
    <w:rsid w:val="00350F98"/>
    <w:rsid w:val="003B676F"/>
    <w:rsid w:val="003C28FE"/>
    <w:rsid w:val="00483B87"/>
    <w:rsid w:val="005B1ADB"/>
    <w:rsid w:val="005E4D4F"/>
    <w:rsid w:val="007378C8"/>
    <w:rsid w:val="00741EC0"/>
    <w:rsid w:val="00803917"/>
    <w:rsid w:val="00996C1E"/>
    <w:rsid w:val="00A07737"/>
    <w:rsid w:val="00A156E4"/>
    <w:rsid w:val="00A6148D"/>
    <w:rsid w:val="00BF05FA"/>
    <w:rsid w:val="00C4646E"/>
    <w:rsid w:val="00C478EB"/>
    <w:rsid w:val="00C76A8F"/>
    <w:rsid w:val="00CE1A70"/>
    <w:rsid w:val="00D53E86"/>
    <w:rsid w:val="00D736F8"/>
    <w:rsid w:val="00E520E6"/>
    <w:rsid w:val="00E54B9D"/>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15FF2"/>
  <w15:chartTrackingRefBased/>
  <w15:docId w15:val="{5627DE72-C737-438C-B68D-56CDDB29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paragraph" w:styleId="berschrift1">
    <w:name w:val="heading 1"/>
    <w:basedOn w:val="Standard"/>
    <w:next w:val="Standard"/>
    <w:link w:val="berschrift1Zchn"/>
    <w:uiPriority w:val="9"/>
    <w:qFormat/>
    <w:rsid w:val="00E54B9D"/>
    <w:pPr>
      <w:keepNext/>
      <w:spacing w:before="240" w:after="60" w:line="264" w:lineRule="auto"/>
      <w:outlineLvl w:val="0"/>
    </w:pPr>
    <w:rPr>
      <w:rFonts w:cs="Arial"/>
      <w:b/>
      <w:bCs/>
      <w:kern w:val="32"/>
      <w:sz w:val="24"/>
      <w:szCs w:val="32"/>
      <w:lang w:eastAsia="de-DE"/>
    </w:rPr>
  </w:style>
  <w:style w:type="paragraph" w:styleId="berschrift3">
    <w:name w:val="heading 3"/>
    <w:basedOn w:val="Standard"/>
    <w:next w:val="Standard"/>
    <w:link w:val="berschrift3Zchn"/>
    <w:qFormat/>
    <w:rsid w:val="00E54B9D"/>
    <w:pPr>
      <w:keepNext/>
      <w:spacing w:before="240" w:after="60" w:line="264" w:lineRule="auto"/>
      <w:outlineLvl w:val="2"/>
    </w:pPr>
    <w:rPr>
      <w:rFonts w:cs="Arial"/>
      <w:b/>
      <w:bCs/>
      <w:sz w:val="22"/>
      <w:szCs w:val="26"/>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customStyle="1" w:styleId="Autoren">
    <w:name w:val="Autoren"/>
    <w:basedOn w:val="Standard"/>
    <w:rsid w:val="00E54B9D"/>
    <w:pPr>
      <w:spacing w:after="120" w:line="264" w:lineRule="auto"/>
      <w:jc w:val="center"/>
    </w:pPr>
    <w:rPr>
      <w:b/>
      <w:sz w:val="24"/>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Funotentext">
    <w:name w:val="footnote text"/>
    <w:basedOn w:val="Standard"/>
    <w:link w:val="FunotentextZchn"/>
    <w:semiHidden/>
    <w:rsid w:val="00E54B9D"/>
    <w:pPr>
      <w:tabs>
        <w:tab w:val="left" w:pos="284"/>
      </w:tabs>
    </w:pPr>
    <w:rPr>
      <w:szCs w:val="20"/>
      <w:lang w:eastAsia="de-DE"/>
    </w:rPr>
  </w:style>
  <w:style w:type="character" w:customStyle="1" w:styleId="FunotentextZchn">
    <w:name w:val="Fußnotentext Zchn"/>
    <w:link w:val="Funotentext"/>
    <w:semiHidden/>
    <w:rsid w:val="00E54B9D"/>
    <w:rPr>
      <w:rFonts w:ascii="Arial" w:hAnsi="Arial"/>
      <w:lang w:val="de-DE"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E54B9D"/>
    <w:pPr>
      <w:spacing w:after="120" w:line="264" w:lineRule="auto"/>
      <w:ind w:left="720"/>
      <w:contextualSpacing/>
    </w:pPr>
    <w:rPr>
      <w:lang w:eastAsia="de-DE"/>
    </w:rPr>
  </w:style>
  <w:style w:type="character" w:customStyle="1" w:styleId="berschrift1Zchn">
    <w:name w:val="Überschrift 1 Zchn"/>
    <w:link w:val="berschrift1"/>
    <w:uiPriority w:val="9"/>
    <w:rsid w:val="00E54B9D"/>
    <w:rPr>
      <w:rFonts w:ascii="Arial" w:hAnsi="Arial" w:cs="Arial"/>
      <w:b/>
      <w:bCs/>
      <w:kern w:val="32"/>
      <w:sz w:val="24"/>
      <w:szCs w:val="32"/>
      <w:lang w:val="de-DE" w:eastAsia="de-DE"/>
    </w:rPr>
  </w:style>
  <w:style w:type="character" w:customStyle="1" w:styleId="berschrift3Zchn">
    <w:name w:val="Überschrift 3 Zchn"/>
    <w:link w:val="berschrift3"/>
    <w:rsid w:val="00E54B9D"/>
    <w:rPr>
      <w:rFonts w:ascii="Arial" w:hAnsi="Arial" w:cs="Arial"/>
      <w:b/>
      <w:bCs/>
      <w:sz w:val="22"/>
      <w:szCs w:val="26"/>
      <w:lang w:val="de-DE" w:eastAsia="de-DE"/>
    </w:rPr>
  </w:style>
  <w:style w:type="paragraph" w:styleId="Literaturverzeichnis">
    <w:name w:val="Bibliography"/>
    <w:basedOn w:val="Standard"/>
    <w:next w:val="Standard"/>
    <w:uiPriority w:val="37"/>
    <w:unhideWhenUsed/>
    <w:rsid w:val="00E54B9D"/>
    <w:pPr>
      <w:spacing w:after="120" w:line="264" w:lineRule="auto"/>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bestres</b:Tag>
    <b:SourceType>InternetSite</b:SourceType>
    <b:Guid>{C844D611-8835-4B5B-9EEA-73B2DA811B34}</b:Guid>
    <b:Title>BestRES: Best practices and implementation of innovative business models for Renewable Energy Aggregators</b:Title>
    <b:URL>http://bestres.eu</b:URL>
    <b:RefOrder>1</b:RefOrder>
  </b:Source>
  <b:Source>
    <b:Tag>julia</b:Tag>
    <b:SourceType>ArticleInAPeriodical</b:SourceType>
    <b:Guid>{419E8D17-4616-44C0-85CB-45AE79D5A8B3}</b:Guid>
    <b:Title>Julia: A Fresh Approach to Numerical Computing</b:Title>
    <b:Year>2017</b:Year>
    <b:Author>
      <b:Author>
        <b:NameList>
          <b:Person>
            <b:Last>Bezanson</b:Last>
            <b:First>Jeff</b:First>
          </b:Person>
          <b:Person>
            <b:Last>Edelman</b:Last>
            <b:First>Alan</b:First>
          </b:Person>
          <b:Person>
            <b:Last>Karpinski</b:Last>
            <b:First>Stefan</b:First>
          </b:Person>
          <b:Person>
            <b:Last>Shah</b:Last>
            <b:First>Viral</b:First>
            <b:Middle>B.</b:Middle>
          </b:Person>
        </b:NameList>
      </b:Author>
    </b:Author>
    <b:Pages>65–98</b:Pages>
    <b:PeriodicalTitle>SIAM Review: 59</b:PeriodicalTitle>
    <b:URL>http://julialang.org/publications/julia-fresh-approach-BEKS.pdf</b:URL>
    <b:DOI>10.1137/141000671</b:DOI>
    <b:RefOrder>2</b:RefOrder>
  </b:Source>
  <b:Source>
    <b:Tag>jump</b:Tag>
    <b:SourceType>ArticleInAPeriodical</b:SourceType>
    <b:Guid>{3E6413EA-0E8B-4134-95E0-2A472570A82D}</b:Guid>
    <b:Title>JuMP: A Modeling Language for Mathematical Optimization</b:Title>
    <b:Year>2017</b:Year>
    <b:PeriodicalTitle>SIAM Review: 59</b:PeriodicalTitle>
    <b:Pages>295-320</b:Pages>
    <b:Author>
      <b:Author>
        <b:NameList>
          <b:Person>
            <b:Last>Dunning</b:Last>
            <b:First>Iain</b:First>
          </b:Person>
          <b:Person>
            <b:Last>Huchette</b:Last>
            <b:First>Joey</b:First>
          </b:Person>
          <b:Person>
            <b:Last>Lubin</b:Last>
            <b:First>Miles</b:First>
          </b:Person>
        </b:NameList>
      </b:Author>
    </b:Author>
    <b:DOI>10.1137/15M1020575</b:DOI>
    <b:RefOrder>3</b:RefOrder>
  </b:Source>
</b:Sources>
</file>

<file path=customXml/itemProps1.xml><?xml version="1.0" encoding="utf-8"?>
<ds:datastoreItem xmlns:ds="http://schemas.openxmlformats.org/officeDocument/2006/customXml" ds:itemID="{CF76E3C6-AB87-47B6-88EE-9E883EE1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Daniel Schwabeneder</cp:lastModifiedBy>
  <cp:revision>3</cp:revision>
  <dcterms:created xsi:type="dcterms:W3CDTF">2018-11-07T15:48:00Z</dcterms:created>
  <dcterms:modified xsi:type="dcterms:W3CDTF">2018-11-07T15:48:00Z</dcterms:modified>
</cp:coreProperties>
</file>