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4F" w:rsidRPr="005E4D4F" w:rsidRDefault="008049A3" w:rsidP="005E4D4F">
      <w:pPr>
        <w:pStyle w:val="Abstract-Titel"/>
      </w:pPr>
      <w:r>
        <w:t>Dezentrale Erzeugung ohne Netzausbau?</w:t>
      </w:r>
      <w:r w:rsidR="00B53E15">
        <w:t xml:space="preserve"> –</w:t>
      </w:r>
      <w:r w:rsidR="004511D3">
        <w:t xml:space="preserve"> Antworten </w:t>
      </w:r>
      <w:r w:rsidR="00B53E15">
        <w:t>aus Sicht des TYNDP 2018 der ENTSO-E</w:t>
      </w:r>
    </w:p>
    <w:p w:rsidR="00BF05FA" w:rsidRDefault="00BF05FA" w:rsidP="00A156E4">
      <w:pPr>
        <w:pStyle w:val="AutorenOrganisation"/>
      </w:pPr>
      <w:r>
        <w:t>Themenbereich</w:t>
      </w:r>
      <w:r w:rsidR="008049A3">
        <w:t xml:space="preserve"> 3,</w:t>
      </w:r>
    </w:p>
    <w:p w:rsidR="005E4D4F" w:rsidRPr="005E4D4F" w:rsidRDefault="008049A3" w:rsidP="00A156E4">
      <w:pPr>
        <w:pStyle w:val="AutorenOrganisation"/>
      </w:pPr>
      <w:r>
        <w:t>Stephan</w:t>
      </w:r>
      <w:r w:rsidR="005E4D4F" w:rsidRPr="005E4D4F">
        <w:t xml:space="preserve"> </w:t>
      </w:r>
      <w:r w:rsidR="005C2F6B">
        <w:t>ÖSTERBAUER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 w:rsidR="005C2F6B">
        <w:t>Stefan FÜHRER</w:t>
      </w:r>
      <w:r w:rsidR="00C11AEF">
        <w:rPr>
          <w:rStyle w:val="Funotenzeichen"/>
        </w:rPr>
        <w:footnoteReference w:id="2"/>
      </w:r>
      <w:r w:rsidR="00A156E4" w:rsidRPr="00A156E4">
        <w:rPr>
          <w:vertAlign w:val="superscript"/>
        </w:rPr>
        <w:t>(</w:t>
      </w:r>
      <w:r>
        <w:rPr>
          <w:vertAlign w:val="superscript"/>
        </w:rPr>
        <w:t>1</w:t>
      </w:r>
      <w:r w:rsidR="00A156E4">
        <w:rPr>
          <w:vertAlign w:val="superscript"/>
        </w:rPr>
        <w:t>)</w:t>
      </w:r>
      <w:r w:rsidRPr="008049A3">
        <w:t xml:space="preserve"> </w:t>
      </w:r>
      <w:r w:rsidR="005C2F6B">
        <w:t>, Herbert POPELKA</w:t>
      </w:r>
      <w:r w:rsidR="00C11AEF">
        <w:rPr>
          <w:rStyle w:val="Funotenzeichen"/>
        </w:rPr>
        <w:footnoteReference w:id="3"/>
      </w:r>
      <w:r w:rsidRPr="00A156E4">
        <w:rPr>
          <w:vertAlign w:val="superscript"/>
        </w:rPr>
        <w:t>(</w:t>
      </w:r>
      <w:r>
        <w:rPr>
          <w:vertAlign w:val="superscript"/>
        </w:rPr>
        <w:t>1)</w:t>
      </w:r>
    </w:p>
    <w:p w:rsidR="005E4D4F" w:rsidRDefault="00A156E4" w:rsidP="005E4D4F">
      <w:pPr>
        <w:pStyle w:val="AutorenOrganisation"/>
      </w:pPr>
      <w:r>
        <w:rPr>
          <w:vertAlign w:val="superscript"/>
        </w:rPr>
        <w:t>(</w:t>
      </w:r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8049A3">
        <w:t xml:space="preserve"> APG – Austrian Power </w:t>
      </w:r>
      <w:proofErr w:type="spellStart"/>
      <w:r w:rsidR="008049A3">
        <w:t>Grid</w:t>
      </w:r>
      <w:proofErr w:type="spellEnd"/>
      <w:r w:rsidR="008049A3">
        <w:t xml:space="preserve"> AG</w:t>
      </w:r>
    </w:p>
    <w:p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:rsidR="008F5B62" w:rsidRDefault="0046646D" w:rsidP="005E4D4F">
      <w:pPr>
        <w:pStyle w:val="Ueberschrift"/>
        <w:rPr>
          <w:rFonts w:cs="Arial"/>
          <w:b w:val="0"/>
          <w:spacing w:val="0"/>
          <w:sz w:val="20"/>
          <w:lang w:eastAsia="ko-KR"/>
        </w:rPr>
      </w:pPr>
      <w:r>
        <w:rPr>
          <w:b w:val="0"/>
          <w:spacing w:val="0"/>
          <w:sz w:val="20"/>
          <w:lang w:eastAsia="ko-KR"/>
        </w:rPr>
        <w:t xml:space="preserve">Der </w:t>
      </w:r>
      <w:proofErr w:type="spellStart"/>
      <w:r w:rsidRPr="008F5B62">
        <w:rPr>
          <w:spacing w:val="0"/>
          <w:sz w:val="20"/>
          <w:lang w:eastAsia="ko-KR"/>
        </w:rPr>
        <w:t>T</w:t>
      </w:r>
      <w:r w:rsidRPr="008F5B62">
        <w:rPr>
          <w:b w:val="0"/>
          <w:spacing w:val="0"/>
          <w:sz w:val="20"/>
          <w:lang w:eastAsia="ko-KR"/>
        </w:rPr>
        <w:t>en</w:t>
      </w:r>
      <w:proofErr w:type="spellEnd"/>
      <w:r w:rsidRPr="008F5B62">
        <w:rPr>
          <w:b w:val="0"/>
          <w:spacing w:val="0"/>
          <w:sz w:val="20"/>
          <w:lang w:eastAsia="ko-KR"/>
        </w:rPr>
        <w:t xml:space="preserve"> </w:t>
      </w:r>
      <w:r w:rsidRPr="008F5B62">
        <w:rPr>
          <w:spacing w:val="0"/>
          <w:sz w:val="20"/>
          <w:lang w:eastAsia="ko-KR"/>
        </w:rPr>
        <w:t>Y</w:t>
      </w:r>
      <w:r w:rsidRPr="008F5B62">
        <w:rPr>
          <w:b w:val="0"/>
          <w:spacing w:val="0"/>
          <w:sz w:val="20"/>
          <w:lang w:eastAsia="ko-KR"/>
        </w:rPr>
        <w:t xml:space="preserve">ear </w:t>
      </w:r>
      <w:r w:rsidRPr="008F5B62">
        <w:rPr>
          <w:spacing w:val="0"/>
          <w:sz w:val="20"/>
          <w:lang w:eastAsia="ko-KR"/>
        </w:rPr>
        <w:t>N</w:t>
      </w:r>
      <w:r w:rsidRPr="008F5B62">
        <w:rPr>
          <w:b w:val="0"/>
          <w:spacing w:val="0"/>
          <w:sz w:val="20"/>
          <w:lang w:eastAsia="ko-KR"/>
        </w:rPr>
        <w:t xml:space="preserve">etwork </w:t>
      </w:r>
      <w:r w:rsidRPr="008F5B62">
        <w:rPr>
          <w:spacing w:val="0"/>
          <w:sz w:val="20"/>
          <w:lang w:eastAsia="ko-KR"/>
        </w:rPr>
        <w:t>D</w:t>
      </w:r>
      <w:r w:rsidRPr="008F5B62">
        <w:rPr>
          <w:b w:val="0"/>
          <w:spacing w:val="0"/>
          <w:sz w:val="20"/>
          <w:lang w:eastAsia="ko-KR"/>
        </w:rPr>
        <w:t xml:space="preserve">evelopment </w:t>
      </w:r>
      <w:r w:rsidRPr="008F5B62">
        <w:rPr>
          <w:spacing w:val="0"/>
          <w:sz w:val="20"/>
          <w:lang w:eastAsia="ko-KR"/>
        </w:rPr>
        <w:t>P</w:t>
      </w:r>
      <w:r w:rsidRPr="008F5B62">
        <w:rPr>
          <w:b w:val="0"/>
          <w:spacing w:val="0"/>
          <w:sz w:val="20"/>
          <w:lang w:eastAsia="ko-KR"/>
        </w:rPr>
        <w:t>lan 2018 (TYNDP) der ENTSO-</w:t>
      </w:r>
      <w:r w:rsidR="00295E87">
        <w:rPr>
          <w:b w:val="0"/>
          <w:spacing w:val="0"/>
          <w:sz w:val="20"/>
          <w:lang w:eastAsia="ko-KR"/>
        </w:rPr>
        <w:t xml:space="preserve">E </w:t>
      </w:r>
      <w:r w:rsidR="003121A7">
        <w:rPr>
          <w:b w:val="0"/>
          <w:spacing w:val="0"/>
          <w:sz w:val="20"/>
          <w:lang w:eastAsia="ko-KR"/>
        </w:rPr>
        <w:t xml:space="preserve">wird in einer </w:t>
      </w:r>
      <w:r w:rsidR="00B53E15">
        <w:rPr>
          <w:b w:val="0"/>
          <w:spacing w:val="0"/>
          <w:sz w:val="20"/>
          <w:lang w:eastAsia="ko-KR"/>
        </w:rPr>
        <w:t xml:space="preserve">wichtigen </w:t>
      </w:r>
      <w:r>
        <w:rPr>
          <w:b w:val="0"/>
          <w:spacing w:val="0"/>
          <w:sz w:val="20"/>
          <w:lang w:eastAsia="ko-KR"/>
        </w:rPr>
        <w:t xml:space="preserve">Phase der </w:t>
      </w:r>
      <w:r w:rsidR="00B53E15">
        <w:rPr>
          <w:b w:val="0"/>
          <w:spacing w:val="0"/>
          <w:sz w:val="20"/>
          <w:lang w:eastAsia="ko-KR"/>
        </w:rPr>
        <w:t xml:space="preserve">Diskussion </w:t>
      </w:r>
      <w:r>
        <w:rPr>
          <w:b w:val="0"/>
          <w:spacing w:val="0"/>
          <w:sz w:val="20"/>
          <w:lang w:eastAsia="ko-KR"/>
        </w:rPr>
        <w:t>der klimapolitischen Ziele Österreichs</w:t>
      </w:r>
      <w:r w:rsidR="003121A7">
        <w:rPr>
          <w:b w:val="0"/>
          <w:spacing w:val="0"/>
          <w:sz w:val="20"/>
          <w:lang w:eastAsia="ko-KR"/>
        </w:rPr>
        <w:t xml:space="preserve"> veröffentlicht.</w:t>
      </w:r>
      <w:r>
        <w:rPr>
          <w:b w:val="0"/>
          <w:spacing w:val="0"/>
          <w:sz w:val="20"/>
          <w:lang w:eastAsia="ko-KR"/>
        </w:rPr>
        <w:t xml:space="preserve"> </w:t>
      </w:r>
      <w:r w:rsidR="00B71216">
        <w:rPr>
          <w:b w:val="0"/>
          <w:spacing w:val="0"/>
          <w:sz w:val="20"/>
          <w:lang w:eastAsia="ko-KR"/>
        </w:rPr>
        <w:t>Denn bis</w:t>
      </w:r>
      <w:r>
        <w:rPr>
          <w:b w:val="0"/>
          <w:spacing w:val="0"/>
          <w:sz w:val="20"/>
          <w:lang w:eastAsia="ko-KR"/>
        </w:rPr>
        <w:t xml:space="preserve"> 2030 </w:t>
      </w:r>
      <w:r w:rsidR="000705B7">
        <w:rPr>
          <w:b w:val="0"/>
          <w:spacing w:val="0"/>
          <w:sz w:val="20"/>
          <w:lang w:eastAsia="ko-KR"/>
        </w:rPr>
        <w:t>soll</w:t>
      </w:r>
      <w:r w:rsidR="009F44F5">
        <w:rPr>
          <w:b w:val="0"/>
          <w:spacing w:val="0"/>
          <w:sz w:val="20"/>
          <w:lang w:eastAsia="ko-KR"/>
        </w:rPr>
        <w:t xml:space="preserve"> laut #mission2030</w:t>
      </w:r>
      <w:r w:rsidR="000705B7">
        <w:rPr>
          <w:b w:val="0"/>
          <w:spacing w:val="0"/>
          <w:sz w:val="20"/>
          <w:lang w:eastAsia="ko-KR"/>
        </w:rPr>
        <w:t xml:space="preserve"> in</w:t>
      </w:r>
      <w:r w:rsidR="003121A7">
        <w:rPr>
          <w:b w:val="0"/>
          <w:spacing w:val="0"/>
          <w:sz w:val="20"/>
          <w:lang w:eastAsia="ko-KR"/>
        </w:rPr>
        <w:t xml:space="preserve"> einer kosteneffizienten und sicheren Weise </w:t>
      </w:r>
      <w:r>
        <w:rPr>
          <w:b w:val="0"/>
          <w:spacing w:val="0"/>
          <w:sz w:val="20"/>
          <w:lang w:eastAsia="ko-KR"/>
        </w:rPr>
        <w:t xml:space="preserve">eine vollständige </w:t>
      </w:r>
      <w:proofErr w:type="spellStart"/>
      <w:r>
        <w:rPr>
          <w:b w:val="0"/>
          <w:spacing w:val="0"/>
          <w:sz w:val="20"/>
          <w:lang w:eastAsia="ko-KR"/>
        </w:rPr>
        <w:t>Dekarboniserung</w:t>
      </w:r>
      <w:proofErr w:type="spellEnd"/>
      <w:r>
        <w:rPr>
          <w:b w:val="0"/>
          <w:spacing w:val="0"/>
          <w:sz w:val="20"/>
          <w:lang w:eastAsia="ko-KR"/>
        </w:rPr>
        <w:t xml:space="preserve"> des Stromsystems und bis </w:t>
      </w:r>
      <w:r w:rsidR="009F44F5">
        <w:rPr>
          <w:b w:val="0"/>
          <w:spacing w:val="0"/>
          <w:sz w:val="20"/>
          <w:lang w:eastAsia="ko-KR"/>
        </w:rPr>
        <w:t>2050 die vollständige CO</w:t>
      </w:r>
      <w:r w:rsidR="009F44F5" w:rsidRPr="009F44F5">
        <w:rPr>
          <w:b w:val="0"/>
          <w:spacing w:val="0"/>
          <w:sz w:val="20"/>
          <w:vertAlign w:val="subscript"/>
          <w:lang w:eastAsia="ko-KR"/>
        </w:rPr>
        <w:t>2</w:t>
      </w:r>
      <w:r w:rsidR="00B53E15" w:rsidRPr="00A00F44">
        <w:rPr>
          <w:b w:val="0"/>
          <w:spacing w:val="0"/>
          <w:sz w:val="20"/>
          <w:lang w:eastAsia="ko-KR"/>
        </w:rPr>
        <w:t>-</w:t>
      </w:r>
      <w:r w:rsidR="009F44F5">
        <w:rPr>
          <w:b w:val="0"/>
          <w:spacing w:val="0"/>
          <w:sz w:val="20"/>
          <w:lang w:eastAsia="ko-KR"/>
        </w:rPr>
        <w:t xml:space="preserve">Neutralität </w:t>
      </w:r>
      <w:r w:rsidR="008517BA">
        <w:rPr>
          <w:b w:val="0"/>
          <w:spacing w:val="0"/>
          <w:sz w:val="20"/>
          <w:lang w:eastAsia="ko-KR"/>
        </w:rPr>
        <w:t>des gesamten österreichischen Energieversorgungssystems</w:t>
      </w:r>
      <w:r w:rsidR="00295E87" w:rsidRPr="00295E87">
        <w:rPr>
          <w:rFonts w:cs="Arial"/>
          <w:b w:val="0"/>
          <w:spacing w:val="0"/>
          <w:sz w:val="20"/>
          <w:lang w:eastAsia="ko-KR"/>
        </w:rPr>
        <w:t xml:space="preserve"> </w:t>
      </w:r>
      <w:r w:rsidR="003121A7">
        <w:rPr>
          <w:rFonts w:cs="Arial"/>
          <w:b w:val="0"/>
          <w:spacing w:val="0"/>
          <w:sz w:val="20"/>
          <w:lang w:eastAsia="ko-KR"/>
        </w:rPr>
        <w:t>erreicht werden</w:t>
      </w:r>
      <w:r w:rsidR="00295E87" w:rsidRPr="007278BC">
        <w:rPr>
          <w:rFonts w:cs="Arial"/>
          <w:b w:val="0"/>
          <w:spacing w:val="0"/>
          <w:sz w:val="20"/>
          <w:lang w:eastAsia="ko-KR"/>
        </w:rPr>
        <w:t xml:space="preserve">. </w:t>
      </w:r>
      <w:sdt>
        <w:sdtPr>
          <w:rPr>
            <w:rFonts w:cs="Arial"/>
            <w:b w:val="0"/>
            <w:spacing w:val="0"/>
            <w:sz w:val="20"/>
            <w:lang w:eastAsia="ko-KR"/>
          </w:rPr>
          <w:id w:val="1211387834"/>
          <w:citation/>
        </w:sdtPr>
        <w:sdtEndPr/>
        <w:sdtContent>
          <w:r w:rsidR="00295E87" w:rsidRPr="007278BC">
            <w:rPr>
              <w:rFonts w:cs="Arial"/>
              <w:b w:val="0"/>
              <w:spacing w:val="0"/>
              <w:sz w:val="20"/>
              <w:lang w:eastAsia="ko-KR"/>
            </w:rPr>
            <w:fldChar w:fldCharType="begin"/>
          </w:r>
          <w:r w:rsidR="00295E87" w:rsidRPr="007278BC">
            <w:rPr>
              <w:rFonts w:cs="Arial"/>
              <w:b w:val="0"/>
              <w:spacing w:val="0"/>
              <w:sz w:val="20"/>
              <w:lang w:val="de-AT" w:eastAsia="ko-KR"/>
            </w:rPr>
            <w:instrText xml:space="preserve"> CITATION Bun18 \l 3079 </w:instrText>
          </w:r>
          <w:r w:rsidR="00295E87" w:rsidRPr="007278BC">
            <w:rPr>
              <w:rFonts w:cs="Arial"/>
              <w:b w:val="0"/>
              <w:spacing w:val="0"/>
              <w:sz w:val="20"/>
              <w:lang w:eastAsia="ko-KR"/>
            </w:rPr>
            <w:fldChar w:fldCharType="separate"/>
          </w:r>
          <w:r w:rsidR="0037132D" w:rsidRPr="0037132D">
            <w:rPr>
              <w:rFonts w:cs="Arial"/>
              <w:noProof/>
              <w:spacing w:val="0"/>
              <w:sz w:val="20"/>
              <w:lang w:val="de-AT" w:eastAsia="ko-KR"/>
            </w:rPr>
            <w:t>[1]</w:t>
          </w:r>
          <w:r w:rsidR="00295E87" w:rsidRPr="007278BC">
            <w:rPr>
              <w:rFonts w:cs="Arial"/>
              <w:b w:val="0"/>
              <w:spacing w:val="0"/>
              <w:sz w:val="20"/>
              <w:lang w:eastAsia="ko-KR"/>
            </w:rPr>
            <w:fldChar w:fldCharType="end"/>
          </w:r>
        </w:sdtContent>
      </w:sdt>
    </w:p>
    <w:p w:rsidR="001918D4" w:rsidRPr="00295E87" w:rsidRDefault="00ED79DA" w:rsidP="005E4D4F">
      <w:pPr>
        <w:pStyle w:val="Ueberschrift"/>
        <w:rPr>
          <w:rFonts w:cs="Arial"/>
          <w:b w:val="0"/>
          <w:spacing w:val="0"/>
          <w:sz w:val="20"/>
          <w:lang w:eastAsia="ko-KR"/>
        </w:rPr>
      </w:pPr>
      <w:r>
        <w:rPr>
          <w:rFonts w:cs="Arial"/>
          <w:b w:val="0"/>
          <w:spacing w:val="0"/>
          <w:sz w:val="20"/>
          <w:lang w:eastAsia="ko-KR"/>
        </w:rPr>
        <w:t xml:space="preserve">Der dadurch </w:t>
      </w:r>
      <w:r w:rsidR="00B71216">
        <w:rPr>
          <w:rFonts w:cs="Arial"/>
          <w:b w:val="0"/>
          <w:spacing w:val="0"/>
          <w:sz w:val="20"/>
          <w:lang w:eastAsia="ko-KR"/>
        </w:rPr>
        <w:t>erforderliche</w:t>
      </w:r>
      <w:r>
        <w:rPr>
          <w:rFonts w:cs="Arial"/>
          <w:b w:val="0"/>
          <w:spacing w:val="0"/>
          <w:sz w:val="20"/>
          <w:lang w:eastAsia="ko-KR"/>
        </w:rPr>
        <w:t xml:space="preserve"> Ausbau der Erneuerbaren Energie</w:t>
      </w:r>
      <w:r w:rsidR="00B53E15">
        <w:rPr>
          <w:rFonts w:cs="Arial"/>
          <w:b w:val="0"/>
          <w:spacing w:val="0"/>
          <w:sz w:val="20"/>
          <w:lang w:eastAsia="ko-KR"/>
        </w:rPr>
        <w:t>träger</w:t>
      </w:r>
      <w:r>
        <w:rPr>
          <w:rFonts w:cs="Arial"/>
          <w:b w:val="0"/>
          <w:spacing w:val="0"/>
          <w:sz w:val="20"/>
          <w:lang w:eastAsia="ko-KR"/>
        </w:rPr>
        <w:t xml:space="preserve"> und deren </w:t>
      </w:r>
      <w:r w:rsidR="00B71216">
        <w:rPr>
          <w:rFonts w:cs="Arial"/>
          <w:b w:val="0"/>
          <w:spacing w:val="0"/>
          <w:sz w:val="20"/>
          <w:lang w:eastAsia="ko-KR"/>
        </w:rPr>
        <w:t xml:space="preserve">notwendige </w:t>
      </w:r>
      <w:r>
        <w:rPr>
          <w:rFonts w:cs="Arial"/>
          <w:b w:val="0"/>
          <w:spacing w:val="0"/>
          <w:sz w:val="20"/>
          <w:lang w:eastAsia="ko-KR"/>
        </w:rPr>
        <w:t xml:space="preserve">Integration </w:t>
      </w:r>
      <w:r w:rsidR="00B71216">
        <w:rPr>
          <w:rFonts w:cs="Arial"/>
          <w:b w:val="0"/>
          <w:spacing w:val="0"/>
          <w:sz w:val="20"/>
          <w:lang w:eastAsia="ko-KR"/>
        </w:rPr>
        <w:t>in die bestehende Energieversorgung</w:t>
      </w:r>
      <w:r w:rsidR="005C637F">
        <w:rPr>
          <w:rFonts w:cs="Arial"/>
          <w:b w:val="0"/>
          <w:spacing w:val="0"/>
          <w:sz w:val="20"/>
          <w:lang w:eastAsia="ko-KR"/>
        </w:rPr>
        <w:t>sinfrastruktur</w:t>
      </w:r>
      <w:r w:rsidR="00B71216">
        <w:rPr>
          <w:rFonts w:cs="Arial"/>
          <w:b w:val="0"/>
          <w:spacing w:val="0"/>
          <w:sz w:val="20"/>
          <w:lang w:eastAsia="ko-KR"/>
        </w:rPr>
        <w:t>, setz</w:t>
      </w:r>
      <w:r w:rsidR="00180496">
        <w:rPr>
          <w:rFonts w:cs="Arial"/>
          <w:b w:val="0"/>
          <w:spacing w:val="0"/>
          <w:sz w:val="20"/>
          <w:lang w:eastAsia="ko-KR"/>
        </w:rPr>
        <w:t>t</w:t>
      </w:r>
      <w:r>
        <w:rPr>
          <w:rFonts w:cs="Arial"/>
          <w:b w:val="0"/>
          <w:spacing w:val="0"/>
          <w:sz w:val="20"/>
          <w:lang w:eastAsia="ko-KR"/>
        </w:rPr>
        <w:t xml:space="preserve"> </w:t>
      </w:r>
      <w:r w:rsidR="00B53E15">
        <w:rPr>
          <w:rFonts w:cs="Arial"/>
          <w:b w:val="0"/>
          <w:spacing w:val="0"/>
          <w:sz w:val="20"/>
          <w:lang w:eastAsia="ko-KR"/>
        </w:rPr>
        <w:t xml:space="preserve">auch </w:t>
      </w:r>
      <w:r>
        <w:rPr>
          <w:rFonts w:cs="Arial"/>
          <w:b w:val="0"/>
          <w:spacing w:val="0"/>
          <w:sz w:val="20"/>
          <w:lang w:eastAsia="ko-KR"/>
        </w:rPr>
        <w:t>eine bessere Kopplung der Sektoren Strom und Gas</w:t>
      </w:r>
      <w:r w:rsidR="00B71216">
        <w:rPr>
          <w:rFonts w:cs="Arial"/>
          <w:b w:val="0"/>
          <w:spacing w:val="0"/>
          <w:sz w:val="20"/>
          <w:lang w:eastAsia="ko-KR"/>
        </w:rPr>
        <w:t xml:space="preserve"> </w:t>
      </w:r>
      <w:r w:rsidR="00B53E15">
        <w:rPr>
          <w:rFonts w:cs="Arial"/>
          <w:b w:val="0"/>
          <w:spacing w:val="0"/>
          <w:sz w:val="20"/>
          <w:lang w:eastAsia="ko-KR"/>
        </w:rPr>
        <w:t xml:space="preserve">mit Wärme und Verkehr </w:t>
      </w:r>
      <w:r w:rsidR="00B71216">
        <w:rPr>
          <w:rFonts w:cs="Arial"/>
          <w:b w:val="0"/>
          <w:spacing w:val="0"/>
          <w:sz w:val="20"/>
          <w:lang w:eastAsia="ko-KR"/>
        </w:rPr>
        <w:t>voraus</w:t>
      </w:r>
      <w:r>
        <w:rPr>
          <w:rFonts w:cs="Arial"/>
          <w:b w:val="0"/>
          <w:spacing w:val="0"/>
          <w:sz w:val="20"/>
          <w:lang w:eastAsia="ko-KR"/>
        </w:rPr>
        <w:t xml:space="preserve">. </w:t>
      </w:r>
      <w:r w:rsidR="00180496">
        <w:rPr>
          <w:rFonts w:cs="Arial"/>
          <w:b w:val="0"/>
          <w:spacing w:val="0"/>
          <w:sz w:val="20"/>
          <w:lang w:eastAsia="ko-KR"/>
        </w:rPr>
        <w:t xml:space="preserve">Eine </w:t>
      </w:r>
      <w:r w:rsidR="001918D4">
        <w:rPr>
          <w:rFonts w:cs="Arial"/>
          <w:b w:val="0"/>
          <w:spacing w:val="0"/>
          <w:sz w:val="20"/>
          <w:lang w:eastAsia="ko-KR"/>
        </w:rPr>
        <w:t xml:space="preserve">Energiezukunft </w:t>
      </w:r>
      <w:r w:rsidR="009F44F5">
        <w:rPr>
          <w:rFonts w:cs="Arial"/>
          <w:b w:val="0"/>
          <w:spacing w:val="0"/>
          <w:sz w:val="20"/>
          <w:lang w:eastAsia="ko-KR"/>
        </w:rPr>
        <w:t>di</w:t>
      </w:r>
      <w:r w:rsidR="005C637F">
        <w:rPr>
          <w:rFonts w:cs="Arial"/>
          <w:b w:val="0"/>
          <w:spacing w:val="0"/>
          <w:sz w:val="20"/>
          <w:lang w:eastAsia="ko-KR"/>
        </w:rPr>
        <w:t>e</w:t>
      </w:r>
      <w:r w:rsidR="009F44F5">
        <w:rPr>
          <w:rFonts w:cs="Arial"/>
          <w:b w:val="0"/>
          <w:spacing w:val="0"/>
          <w:sz w:val="20"/>
          <w:lang w:eastAsia="ko-KR"/>
        </w:rPr>
        <w:t xml:space="preserve"> </w:t>
      </w:r>
      <w:r w:rsidR="00180496">
        <w:rPr>
          <w:rFonts w:cs="Arial"/>
          <w:b w:val="0"/>
          <w:spacing w:val="0"/>
          <w:sz w:val="20"/>
          <w:lang w:eastAsia="ko-KR"/>
        </w:rPr>
        <w:t xml:space="preserve">jeden einzelnen von </w:t>
      </w:r>
      <w:r w:rsidR="009F44F5">
        <w:rPr>
          <w:rFonts w:cs="Arial"/>
          <w:b w:val="0"/>
          <w:spacing w:val="0"/>
          <w:sz w:val="20"/>
          <w:lang w:eastAsia="ko-KR"/>
        </w:rPr>
        <w:t xml:space="preserve">uns vor </w:t>
      </w:r>
      <w:r w:rsidR="001918D4">
        <w:rPr>
          <w:rFonts w:cs="Arial"/>
          <w:b w:val="0"/>
          <w:spacing w:val="0"/>
          <w:sz w:val="20"/>
          <w:lang w:eastAsia="ko-KR"/>
        </w:rPr>
        <w:t>Veränderung</w:t>
      </w:r>
      <w:r w:rsidR="005C637F">
        <w:rPr>
          <w:rFonts w:cs="Arial"/>
          <w:b w:val="0"/>
          <w:spacing w:val="0"/>
          <w:sz w:val="20"/>
          <w:lang w:eastAsia="ko-KR"/>
        </w:rPr>
        <w:t>en</w:t>
      </w:r>
      <w:r w:rsidR="001918D4">
        <w:rPr>
          <w:rFonts w:cs="Arial"/>
          <w:b w:val="0"/>
          <w:spacing w:val="0"/>
          <w:sz w:val="20"/>
          <w:lang w:eastAsia="ko-KR"/>
        </w:rPr>
        <w:t xml:space="preserve"> </w:t>
      </w:r>
      <w:r w:rsidR="00180496">
        <w:rPr>
          <w:rFonts w:cs="Arial"/>
          <w:b w:val="0"/>
          <w:spacing w:val="0"/>
          <w:sz w:val="20"/>
          <w:lang w:eastAsia="ko-KR"/>
        </w:rPr>
        <w:t>stellen wird. I</w:t>
      </w:r>
      <w:r w:rsidR="009F44F5">
        <w:rPr>
          <w:rFonts w:cs="Arial"/>
          <w:b w:val="0"/>
          <w:spacing w:val="0"/>
          <w:sz w:val="20"/>
          <w:lang w:eastAsia="ko-KR"/>
        </w:rPr>
        <w:t>nsbesondere</w:t>
      </w:r>
      <w:r w:rsidR="009346A5">
        <w:rPr>
          <w:rFonts w:cs="Arial"/>
          <w:b w:val="0"/>
          <w:spacing w:val="0"/>
          <w:sz w:val="20"/>
          <w:lang w:eastAsia="ko-KR"/>
        </w:rPr>
        <w:t xml:space="preserve"> </w:t>
      </w:r>
      <w:r w:rsidR="00180496">
        <w:rPr>
          <w:rFonts w:cs="Arial"/>
          <w:b w:val="0"/>
          <w:spacing w:val="0"/>
          <w:sz w:val="20"/>
          <w:lang w:eastAsia="ko-KR"/>
        </w:rPr>
        <w:t xml:space="preserve">die Substitution der einzelnen Primärenergieträger durch elektrische Energie aus volatilen Quellen wird unsere </w:t>
      </w:r>
      <w:r w:rsidR="007278BC">
        <w:rPr>
          <w:rFonts w:cs="Arial"/>
          <w:b w:val="0"/>
          <w:spacing w:val="0"/>
          <w:sz w:val="20"/>
          <w:lang w:eastAsia="ko-KR"/>
        </w:rPr>
        <w:t xml:space="preserve">zukünftige </w:t>
      </w:r>
      <w:r w:rsidR="004511D3">
        <w:rPr>
          <w:rFonts w:cs="Arial"/>
          <w:b w:val="0"/>
          <w:spacing w:val="0"/>
          <w:sz w:val="20"/>
          <w:lang w:eastAsia="ko-KR"/>
        </w:rPr>
        <w:t xml:space="preserve">Stromversorgungsinfrastruktur </w:t>
      </w:r>
      <w:r w:rsidR="00180496">
        <w:rPr>
          <w:rFonts w:cs="Arial"/>
          <w:b w:val="0"/>
          <w:spacing w:val="0"/>
          <w:sz w:val="20"/>
          <w:lang w:eastAsia="ko-KR"/>
        </w:rPr>
        <w:t>maßgebend prägen.</w:t>
      </w:r>
    </w:p>
    <w:p w:rsidR="00D107FF" w:rsidRDefault="00364033" w:rsidP="005E4D4F">
      <w:pPr>
        <w:pStyle w:val="Ueberschrift"/>
        <w:rPr>
          <w:rFonts w:cs="Arial"/>
          <w:b w:val="0"/>
          <w:spacing w:val="0"/>
          <w:sz w:val="20"/>
          <w:lang w:eastAsia="ko-KR"/>
        </w:rPr>
      </w:pPr>
      <w:r>
        <w:rPr>
          <w:rFonts w:cs="Arial"/>
          <w:b w:val="0"/>
          <w:spacing w:val="0"/>
          <w:sz w:val="20"/>
          <w:lang w:eastAsia="ko-KR"/>
        </w:rPr>
        <w:t>Die wesentlichen neuen erneuerbaren Erzeugungstechnologien sind Wind</w:t>
      </w:r>
      <w:r w:rsidR="004511D3">
        <w:rPr>
          <w:rFonts w:cs="Arial"/>
          <w:b w:val="0"/>
          <w:spacing w:val="0"/>
          <w:sz w:val="20"/>
          <w:lang w:eastAsia="ko-KR"/>
        </w:rPr>
        <w:t>kraft</w:t>
      </w:r>
      <w:r>
        <w:rPr>
          <w:rFonts w:cs="Arial"/>
          <w:b w:val="0"/>
          <w:spacing w:val="0"/>
          <w:sz w:val="20"/>
          <w:lang w:eastAsia="ko-KR"/>
        </w:rPr>
        <w:t xml:space="preserve"> und </w:t>
      </w:r>
      <w:r w:rsidR="004511D3">
        <w:rPr>
          <w:rFonts w:cs="Arial"/>
          <w:b w:val="0"/>
          <w:spacing w:val="0"/>
          <w:sz w:val="20"/>
          <w:lang w:eastAsia="ko-KR"/>
        </w:rPr>
        <w:t>Photovoltaik (</w:t>
      </w:r>
      <w:r>
        <w:rPr>
          <w:rFonts w:cs="Arial"/>
          <w:b w:val="0"/>
          <w:spacing w:val="0"/>
          <w:sz w:val="20"/>
          <w:lang w:eastAsia="ko-KR"/>
        </w:rPr>
        <w:t>PV</w:t>
      </w:r>
      <w:r w:rsidR="004511D3">
        <w:rPr>
          <w:rFonts w:cs="Arial"/>
          <w:b w:val="0"/>
          <w:spacing w:val="0"/>
          <w:sz w:val="20"/>
          <w:lang w:eastAsia="ko-KR"/>
        </w:rPr>
        <w:t>)</w:t>
      </w:r>
      <w:r w:rsidR="00A00F44">
        <w:rPr>
          <w:rFonts w:cs="Arial"/>
          <w:b w:val="0"/>
          <w:spacing w:val="0"/>
          <w:sz w:val="20"/>
          <w:lang w:eastAsia="ko-KR"/>
        </w:rPr>
        <w:t xml:space="preserve">, </w:t>
      </w:r>
      <w:r w:rsidR="00CC1C4B">
        <w:rPr>
          <w:rFonts w:cs="Arial"/>
          <w:b w:val="0"/>
          <w:spacing w:val="0"/>
          <w:sz w:val="20"/>
          <w:lang w:eastAsia="ko-KR"/>
        </w:rPr>
        <w:t xml:space="preserve">insbesondere da </w:t>
      </w:r>
      <w:r w:rsidR="00A00F44">
        <w:rPr>
          <w:rFonts w:cs="Arial"/>
          <w:b w:val="0"/>
          <w:spacing w:val="0"/>
          <w:sz w:val="20"/>
          <w:lang w:eastAsia="ko-KR"/>
        </w:rPr>
        <w:t xml:space="preserve">die </w:t>
      </w:r>
      <w:r w:rsidR="00CC1C4B">
        <w:rPr>
          <w:rFonts w:cs="Arial"/>
          <w:b w:val="0"/>
          <w:spacing w:val="0"/>
          <w:sz w:val="20"/>
          <w:lang w:eastAsia="ko-KR"/>
        </w:rPr>
        <w:t xml:space="preserve">Potentiale der </w:t>
      </w:r>
      <w:r w:rsidR="00A00F44">
        <w:rPr>
          <w:rFonts w:cs="Arial"/>
          <w:b w:val="0"/>
          <w:spacing w:val="0"/>
          <w:sz w:val="20"/>
          <w:lang w:eastAsia="ko-KR"/>
        </w:rPr>
        <w:t xml:space="preserve">Großwasserkraft </w:t>
      </w:r>
      <w:r w:rsidR="00CC1C4B">
        <w:rPr>
          <w:rFonts w:cs="Arial"/>
          <w:b w:val="0"/>
          <w:spacing w:val="0"/>
          <w:sz w:val="20"/>
          <w:lang w:eastAsia="ko-KR"/>
        </w:rPr>
        <w:t>in Österreich zu großen Teilen ausgeschöpft sind</w:t>
      </w:r>
      <w:r>
        <w:rPr>
          <w:rFonts w:cs="Arial"/>
          <w:b w:val="0"/>
          <w:spacing w:val="0"/>
          <w:sz w:val="20"/>
          <w:lang w:eastAsia="ko-KR"/>
        </w:rPr>
        <w:t xml:space="preserve">. </w:t>
      </w:r>
      <w:r w:rsidR="00A00F44">
        <w:rPr>
          <w:rFonts w:cs="Arial"/>
          <w:b w:val="0"/>
          <w:spacing w:val="0"/>
          <w:sz w:val="20"/>
          <w:lang w:eastAsia="ko-KR"/>
        </w:rPr>
        <w:t xml:space="preserve">Dabei kann </w:t>
      </w:r>
      <w:r>
        <w:rPr>
          <w:rFonts w:cs="Arial"/>
          <w:b w:val="0"/>
          <w:spacing w:val="0"/>
          <w:sz w:val="20"/>
          <w:lang w:eastAsia="ko-KR"/>
        </w:rPr>
        <w:t xml:space="preserve">die Windkraft </w:t>
      </w:r>
      <w:r w:rsidR="00A00F44">
        <w:rPr>
          <w:rFonts w:cs="Arial"/>
          <w:b w:val="0"/>
          <w:spacing w:val="0"/>
          <w:sz w:val="20"/>
          <w:lang w:eastAsia="ko-KR"/>
        </w:rPr>
        <w:t xml:space="preserve">aufgrund ihrer räumlichen Verdichtung und </w:t>
      </w:r>
      <w:r w:rsidR="004511D3">
        <w:rPr>
          <w:rFonts w:cs="Arial"/>
          <w:b w:val="0"/>
          <w:spacing w:val="0"/>
          <w:sz w:val="20"/>
          <w:lang w:eastAsia="ko-KR"/>
        </w:rPr>
        <w:t xml:space="preserve">der </w:t>
      </w:r>
      <w:r w:rsidR="00A00F44">
        <w:rPr>
          <w:rFonts w:cs="Arial"/>
          <w:b w:val="0"/>
          <w:spacing w:val="0"/>
          <w:sz w:val="20"/>
          <w:lang w:eastAsia="ko-KR"/>
        </w:rPr>
        <w:t xml:space="preserve">installierten Leistungen </w:t>
      </w:r>
      <w:r>
        <w:rPr>
          <w:rFonts w:cs="Arial"/>
          <w:b w:val="0"/>
          <w:spacing w:val="0"/>
          <w:sz w:val="20"/>
          <w:lang w:eastAsia="ko-KR"/>
        </w:rPr>
        <w:t xml:space="preserve">nicht mehr als dezentrale Erzeugung </w:t>
      </w:r>
      <w:r w:rsidR="00C669F9">
        <w:rPr>
          <w:rFonts w:cs="Arial"/>
          <w:b w:val="0"/>
          <w:spacing w:val="0"/>
          <w:sz w:val="20"/>
          <w:lang w:eastAsia="ko-KR"/>
        </w:rPr>
        <w:t xml:space="preserve">definiert </w:t>
      </w:r>
      <w:r>
        <w:rPr>
          <w:rFonts w:cs="Arial"/>
          <w:b w:val="0"/>
          <w:spacing w:val="0"/>
          <w:sz w:val="20"/>
          <w:lang w:eastAsia="ko-KR"/>
        </w:rPr>
        <w:t>werden</w:t>
      </w:r>
      <w:r w:rsidR="00555AB6">
        <w:rPr>
          <w:rFonts w:cs="Arial"/>
          <w:b w:val="0"/>
          <w:spacing w:val="0"/>
          <w:sz w:val="20"/>
          <w:lang w:eastAsia="ko-KR"/>
        </w:rPr>
        <w:t xml:space="preserve">. Die volatile Erzeugung und die </w:t>
      </w:r>
      <w:r w:rsidR="00A00F44">
        <w:rPr>
          <w:rFonts w:cs="Arial"/>
          <w:b w:val="0"/>
          <w:spacing w:val="0"/>
          <w:sz w:val="20"/>
          <w:lang w:eastAsia="ko-KR"/>
        </w:rPr>
        <w:t xml:space="preserve">teilweise </w:t>
      </w:r>
      <w:r w:rsidR="00555AB6">
        <w:rPr>
          <w:rFonts w:cs="Arial"/>
          <w:b w:val="0"/>
          <w:spacing w:val="0"/>
          <w:sz w:val="20"/>
          <w:lang w:eastAsia="ko-KR"/>
        </w:rPr>
        <w:t xml:space="preserve">lastfernen Standorte bleiben aber weiterhin </w:t>
      </w:r>
      <w:r w:rsidR="004511D3">
        <w:rPr>
          <w:rFonts w:cs="Arial"/>
          <w:b w:val="0"/>
          <w:spacing w:val="0"/>
          <w:sz w:val="20"/>
          <w:lang w:eastAsia="ko-KR"/>
        </w:rPr>
        <w:t xml:space="preserve">eine </w:t>
      </w:r>
      <w:r w:rsidR="00555AB6">
        <w:rPr>
          <w:rFonts w:cs="Arial"/>
          <w:b w:val="0"/>
          <w:spacing w:val="0"/>
          <w:sz w:val="20"/>
          <w:lang w:eastAsia="ko-KR"/>
        </w:rPr>
        <w:t xml:space="preserve">Herausforderung </w:t>
      </w:r>
      <w:r w:rsidR="00A52235">
        <w:rPr>
          <w:rFonts w:cs="Arial"/>
          <w:b w:val="0"/>
          <w:spacing w:val="0"/>
          <w:sz w:val="20"/>
          <w:lang w:eastAsia="ko-KR"/>
        </w:rPr>
        <w:t xml:space="preserve">zur </w:t>
      </w:r>
      <w:r w:rsidR="004511D3">
        <w:rPr>
          <w:rFonts w:cs="Arial"/>
          <w:b w:val="0"/>
          <w:spacing w:val="0"/>
          <w:sz w:val="20"/>
          <w:lang w:eastAsia="ko-KR"/>
        </w:rPr>
        <w:t>Netzi</w:t>
      </w:r>
      <w:r w:rsidR="00A52235">
        <w:rPr>
          <w:rFonts w:cs="Arial"/>
          <w:b w:val="0"/>
          <w:spacing w:val="0"/>
          <w:sz w:val="20"/>
          <w:lang w:eastAsia="ko-KR"/>
        </w:rPr>
        <w:t>ntegration der Windkraft</w:t>
      </w:r>
      <w:r w:rsidR="00555AB6">
        <w:rPr>
          <w:rFonts w:cs="Arial"/>
          <w:b w:val="0"/>
          <w:spacing w:val="0"/>
          <w:sz w:val="20"/>
          <w:lang w:eastAsia="ko-KR"/>
        </w:rPr>
        <w:t xml:space="preserve">. </w:t>
      </w:r>
      <w:r w:rsidR="009510CA">
        <w:rPr>
          <w:rFonts w:cs="Arial"/>
          <w:b w:val="0"/>
          <w:spacing w:val="0"/>
          <w:sz w:val="20"/>
          <w:lang w:eastAsia="ko-KR"/>
        </w:rPr>
        <w:t xml:space="preserve">Die volatile Erzeugungscharakteristik und </w:t>
      </w:r>
      <w:r w:rsidR="003A772A">
        <w:rPr>
          <w:rFonts w:cs="Arial"/>
          <w:b w:val="0"/>
          <w:spacing w:val="0"/>
          <w:sz w:val="20"/>
          <w:lang w:eastAsia="ko-KR"/>
        </w:rPr>
        <w:t xml:space="preserve">niedrigen </w:t>
      </w:r>
      <w:r w:rsidR="009510CA">
        <w:rPr>
          <w:rFonts w:cs="Arial"/>
          <w:b w:val="0"/>
          <w:spacing w:val="0"/>
          <w:sz w:val="20"/>
          <w:lang w:eastAsia="ko-KR"/>
        </w:rPr>
        <w:t xml:space="preserve">Volllaststunden sind </w:t>
      </w:r>
      <w:r w:rsidR="0081311F">
        <w:rPr>
          <w:rFonts w:cs="Arial"/>
          <w:b w:val="0"/>
          <w:spacing w:val="0"/>
          <w:sz w:val="20"/>
          <w:lang w:eastAsia="ko-KR"/>
        </w:rPr>
        <w:t xml:space="preserve">weiterhin </w:t>
      </w:r>
      <w:r w:rsidR="009510CA">
        <w:rPr>
          <w:rFonts w:cs="Arial"/>
          <w:b w:val="0"/>
          <w:spacing w:val="0"/>
          <w:sz w:val="20"/>
          <w:lang w:eastAsia="ko-KR"/>
        </w:rPr>
        <w:t xml:space="preserve">die </w:t>
      </w:r>
      <w:r w:rsidR="00A00F44">
        <w:rPr>
          <w:rFonts w:cs="Arial"/>
          <w:b w:val="0"/>
          <w:spacing w:val="0"/>
          <w:sz w:val="20"/>
          <w:lang w:eastAsia="ko-KR"/>
        </w:rPr>
        <w:t xml:space="preserve">Herausforderungen </w:t>
      </w:r>
      <w:r w:rsidR="004511D3">
        <w:rPr>
          <w:rFonts w:cs="Arial"/>
          <w:b w:val="0"/>
          <w:spacing w:val="0"/>
          <w:sz w:val="20"/>
          <w:lang w:eastAsia="ko-KR"/>
        </w:rPr>
        <w:t xml:space="preserve">bei </w:t>
      </w:r>
      <w:r w:rsidR="009510CA">
        <w:rPr>
          <w:rFonts w:cs="Arial"/>
          <w:b w:val="0"/>
          <w:spacing w:val="0"/>
          <w:sz w:val="20"/>
          <w:lang w:eastAsia="ko-KR"/>
        </w:rPr>
        <w:t xml:space="preserve">der dezentralen Erzeugungstechnologie PV. </w:t>
      </w:r>
      <w:r w:rsidR="00675120">
        <w:rPr>
          <w:rFonts w:cs="Arial"/>
          <w:b w:val="0"/>
          <w:spacing w:val="0"/>
          <w:sz w:val="20"/>
          <w:lang w:eastAsia="ko-KR"/>
        </w:rPr>
        <w:t xml:space="preserve">Durch den dezentralen Ausbau der PV wir die Rolle des sogenannten Prosumers in Zukunft </w:t>
      </w:r>
      <w:r w:rsidR="004511D3">
        <w:rPr>
          <w:rFonts w:cs="Arial"/>
          <w:b w:val="0"/>
          <w:spacing w:val="0"/>
          <w:sz w:val="20"/>
          <w:lang w:eastAsia="ko-KR"/>
        </w:rPr>
        <w:t xml:space="preserve">– </w:t>
      </w:r>
      <w:proofErr w:type="spellStart"/>
      <w:r w:rsidR="004511D3">
        <w:rPr>
          <w:rFonts w:cs="Arial"/>
          <w:b w:val="0"/>
          <w:spacing w:val="0"/>
          <w:sz w:val="20"/>
          <w:lang w:eastAsia="ko-KR"/>
        </w:rPr>
        <w:t>bottom-up</w:t>
      </w:r>
      <w:proofErr w:type="spellEnd"/>
      <w:r w:rsidR="004511D3">
        <w:rPr>
          <w:rFonts w:cs="Arial"/>
          <w:b w:val="0"/>
          <w:spacing w:val="0"/>
          <w:sz w:val="20"/>
          <w:lang w:eastAsia="ko-KR"/>
        </w:rPr>
        <w:t xml:space="preserve"> über die Verteilernetze – </w:t>
      </w:r>
      <w:r w:rsidR="00C630A5">
        <w:rPr>
          <w:rFonts w:cs="Arial"/>
          <w:b w:val="0"/>
          <w:spacing w:val="0"/>
          <w:sz w:val="20"/>
          <w:lang w:eastAsia="ko-KR"/>
        </w:rPr>
        <w:t xml:space="preserve">auch im europäischen Übertragungsnetz zunehmen. </w:t>
      </w:r>
      <w:r w:rsidR="00D107FF">
        <w:rPr>
          <w:rFonts w:cs="Arial"/>
          <w:b w:val="0"/>
          <w:spacing w:val="0"/>
          <w:sz w:val="20"/>
          <w:lang w:eastAsia="ko-KR"/>
        </w:rPr>
        <w:t>Dieser Entwicklung wurde im TYNDP 2018 mit dem Szenario „</w:t>
      </w:r>
      <w:r w:rsidR="00D107FF" w:rsidRPr="009802D1">
        <w:rPr>
          <w:rFonts w:cs="Arial"/>
          <w:spacing w:val="0"/>
          <w:sz w:val="20"/>
          <w:lang w:eastAsia="ko-KR"/>
        </w:rPr>
        <w:t>D</w:t>
      </w:r>
      <w:r w:rsidR="00D107FF">
        <w:rPr>
          <w:rFonts w:cs="Arial"/>
          <w:b w:val="0"/>
          <w:spacing w:val="0"/>
          <w:sz w:val="20"/>
          <w:lang w:eastAsia="ko-KR"/>
        </w:rPr>
        <w:t xml:space="preserve">istributed </w:t>
      </w:r>
      <w:r w:rsidR="00D107FF" w:rsidRPr="009802D1">
        <w:rPr>
          <w:rFonts w:cs="Arial"/>
          <w:spacing w:val="0"/>
          <w:sz w:val="20"/>
          <w:lang w:eastAsia="ko-KR"/>
        </w:rPr>
        <w:t>G</w:t>
      </w:r>
      <w:r w:rsidR="00D107FF">
        <w:rPr>
          <w:rFonts w:cs="Arial"/>
          <w:b w:val="0"/>
          <w:spacing w:val="0"/>
          <w:sz w:val="20"/>
          <w:lang w:eastAsia="ko-KR"/>
        </w:rPr>
        <w:t>eneration</w:t>
      </w:r>
      <w:r w:rsidR="009802D1">
        <w:rPr>
          <w:rFonts w:cs="Arial"/>
          <w:b w:val="0"/>
          <w:spacing w:val="0"/>
          <w:sz w:val="20"/>
          <w:lang w:eastAsia="ko-KR"/>
        </w:rPr>
        <w:t xml:space="preserve"> </w:t>
      </w:r>
      <w:r w:rsidR="009802D1" w:rsidRPr="009802D1">
        <w:rPr>
          <w:rFonts w:cs="Arial"/>
          <w:spacing w:val="0"/>
          <w:sz w:val="20"/>
          <w:lang w:eastAsia="ko-KR"/>
        </w:rPr>
        <w:t>2030</w:t>
      </w:r>
      <w:r w:rsidR="00D107FF">
        <w:rPr>
          <w:rFonts w:cs="Arial"/>
          <w:b w:val="0"/>
          <w:spacing w:val="0"/>
          <w:sz w:val="20"/>
          <w:lang w:eastAsia="ko-KR"/>
        </w:rPr>
        <w:t xml:space="preserve">“ </w:t>
      </w:r>
      <w:r w:rsidR="00F8750F">
        <w:rPr>
          <w:rFonts w:cs="Arial"/>
          <w:b w:val="0"/>
          <w:spacing w:val="0"/>
          <w:sz w:val="20"/>
          <w:lang w:eastAsia="ko-KR"/>
        </w:rPr>
        <w:t>(DG</w:t>
      </w:r>
      <w:r w:rsidR="00F602A4">
        <w:rPr>
          <w:rFonts w:cs="Arial"/>
          <w:b w:val="0"/>
          <w:spacing w:val="0"/>
          <w:sz w:val="20"/>
          <w:lang w:eastAsia="ko-KR"/>
        </w:rPr>
        <w:t>2030</w:t>
      </w:r>
      <w:r w:rsidR="00F8750F">
        <w:rPr>
          <w:rFonts w:cs="Arial"/>
          <w:b w:val="0"/>
          <w:spacing w:val="0"/>
          <w:sz w:val="20"/>
          <w:lang w:eastAsia="ko-KR"/>
        </w:rPr>
        <w:t xml:space="preserve">) </w:t>
      </w:r>
      <w:r w:rsidR="00D107FF">
        <w:rPr>
          <w:rFonts w:cs="Arial"/>
          <w:b w:val="0"/>
          <w:spacing w:val="0"/>
          <w:sz w:val="20"/>
          <w:lang w:eastAsia="ko-KR"/>
        </w:rPr>
        <w:t xml:space="preserve">Rechnung getragen. </w:t>
      </w:r>
    </w:p>
    <w:p w:rsidR="008F5B62" w:rsidRPr="00295E87" w:rsidRDefault="00D107FF" w:rsidP="005E4D4F">
      <w:pPr>
        <w:pStyle w:val="Ueberschrift"/>
        <w:rPr>
          <w:rFonts w:cs="Arial"/>
          <w:b w:val="0"/>
          <w:spacing w:val="0"/>
          <w:sz w:val="20"/>
          <w:lang w:eastAsia="ko-KR"/>
        </w:rPr>
      </w:pPr>
      <w:r>
        <w:rPr>
          <w:rFonts w:cs="Arial"/>
          <w:b w:val="0"/>
          <w:spacing w:val="0"/>
          <w:sz w:val="20"/>
          <w:lang w:eastAsia="ko-KR"/>
        </w:rPr>
        <w:t xml:space="preserve">Übertragungsnetzbetreiber </w:t>
      </w:r>
      <w:r w:rsidR="00A00F44">
        <w:rPr>
          <w:rFonts w:cs="Arial"/>
          <w:b w:val="0"/>
          <w:spacing w:val="0"/>
          <w:sz w:val="20"/>
          <w:lang w:eastAsia="ko-KR"/>
        </w:rPr>
        <w:t xml:space="preserve">werden </w:t>
      </w:r>
      <w:r>
        <w:rPr>
          <w:rFonts w:cs="Arial"/>
          <w:b w:val="0"/>
          <w:spacing w:val="0"/>
          <w:sz w:val="20"/>
          <w:lang w:eastAsia="ko-KR"/>
        </w:rPr>
        <w:t xml:space="preserve">in den Genehmigungsverfahren für Leitungsprojekte immer auch mit </w:t>
      </w:r>
      <w:r w:rsidR="009949D0">
        <w:rPr>
          <w:rFonts w:cs="Arial"/>
          <w:b w:val="0"/>
          <w:spacing w:val="0"/>
          <w:sz w:val="20"/>
          <w:lang w:eastAsia="ko-KR"/>
        </w:rPr>
        <w:t xml:space="preserve">der Behauptung </w:t>
      </w:r>
      <w:r>
        <w:rPr>
          <w:rFonts w:cs="Arial"/>
          <w:b w:val="0"/>
          <w:spacing w:val="0"/>
          <w:sz w:val="20"/>
          <w:lang w:eastAsia="ko-KR"/>
        </w:rPr>
        <w:t xml:space="preserve">konfrontiert, dass eine dezentrale Erzeugung in Kombination mit dezentraler Speicherung zu einem verminderten überregionalen Transportbedarf führen wird. Ein weiterer Ausbau des Übertragungsnetzes </w:t>
      </w:r>
      <w:r w:rsidR="00A00F44">
        <w:rPr>
          <w:rFonts w:cs="Arial"/>
          <w:b w:val="0"/>
          <w:spacing w:val="0"/>
          <w:sz w:val="20"/>
          <w:lang w:eastAsia="ko-KR"/>
        </w:rPr>
        <w:t xml:space="preserve">kann </w:t>
      </w:r>
      <w:r>
        <w:rPr>
          <w:rFonts w:cs="Arial"/>
          <w:b w:val="0"/>
          <w:spacing w:val="0"/>
          <w:sz w:val="20"/>
          <w:lang w:eastAsia="ko-KR"/>
        </w:rPr>
        <w:t xml:space="preserve">daher </w:t>
      </w:r>
      <w:r w:rsidR="00F8750F">
        <w:rPr>
          <w:rFonts w:cs="Arial"/>
          <w:b w:val="0"/>
          <w:spacing w:val="0"/>
          <w:sz w:val="20"/>
          <w:lang w:eastAsia="ko-KR"/>
        </w:rPr>
        <w:t xml:space="preserve">aus Sicht der Projektgegner </w:t>
      </w:r>
      <w:r>
        <w:rPr>
          <w:rFonts w:cs="Arial"/>
          <w:b w:val="0"/>
          <w:spacing w:val="0"/>
          <w:sz w:val="20"/>
          <w:lang w:eastAsia="ko-KR"/>
        </w:rPr>
        <w:t>eine volkswirtschaftliche Fehlinvestition dar</w:t>
      </w:r>
      <w:r w:rsidR="00A00F44">
        <w:rPr>
          <w:rFonts w:cs="Arial"/>
          <w:b w:val="0"/>
          <w:spacing w:val="0"/>
          <w:sz w:val="20"/>
          <w:lang w:eastAsia="ko-KR"/>
        </w:rPr>
        <w:t>stellen</w:t>
      </w:r>
      <w:r>
        <w:rPr>
          <w:rFonts w:cs="Arial"/>
          <w:b w:val="0"/>
          <w:spacing w:val="0"/>
          <w:sz w:val="20"/>
          <w:lang w:eastAsia="ko-KR"/>
        </w:rPr>
        <w:t xml:space="preserve">. Anhand der </w:t>
      </w:r>
      <w:r w:rsidR="00F8750F">
        <w:rPr>
          <w:rFonts w:cs="Arial"/>
          <w:b w:val="0"/>
          <w:spacing w:val="0"/>
          <w:sz w:val="20"/>
          <w:lang w:eastAsia="ko-KR"/>
        </w:rPr>
        <w:t xml:space="preserve">aktuell </w:t>
      </w:r>
      <w:r>
        <w:rPr>
          <w:rFonts w:cs="Arial"/>
          <w:b w:val="0"/>
          <w:spacing w:val="0"/>
          <w:sz w:val="20"/>
          <w:lang w:eastAsia="ko-KR"/>
        </w:rPr>
        <w:t xml:space="preserve">vorliegenden Daten und Ergebnisse des TYNDP 2018 </w:t>
      </w:r>
      <w:r w:rsidR="00A00F44">
        <w:rPr>
          <w:rFonts w:cs="Arial"/>
          <w:b w:val="0"/>
          <w:spacing w:val="0"/>
          <w:sz w:val="20"/>
          <w:lang w:eastAsia="ko-KR"/>
        </w:rPr>
        <w:t xml:space="preserve">Szenarios </w:t>
      </w:r>
      <w:r w:rsidR="00F8750F">
        <w:rPr>
          <w:rFonts w:cs="Arial"/>
          <w:b w:val="0"/>
          <w:spacing w:val="0"/>
          <w:sz w:val="20"/>
          <w:lang w:eastAsia="ko-KR"/>
        </w:rPr>
        <w:t>DG</w:t>
      </w:r>
      <w:r w:rsidR="00A00F44">
        <w:rPr>
          <w:rFonts w:cs="Arial"/>
          <w:b w:val="0"/>
          <w:spacing w:val="0"/>
          <w:sz w:val="20"/>
          <w:lang w:eastAsia="ko-KR"/>
        </w:rPr>
        <w:t>2030</w:t>
      </w:r>
      <w:r w:rsidR="00F8750F">
        <w:rPr>
          <w:rFonts w:cs="Arial"/>
          <w:b w:val="0"/>
          <w:spacing w:val="0"/>
          <w:sz w:val="20"/>
          <w:lang w:eastAsia="ko-KR"/>
        </w:rPr>
        <w:t xml:space="preserve"> wird </w:t>
      </w:r>
      <w:r w:rsidR="00F30442">
        <w:rPr>
          <w:rFonts w:cs="Arial"/>
          <w:b w:val="0"/>
          <w:spacing w:val="0"/>
          <w:sz w:val="20"/>
          <w:lang w:eastAsia="ko-KR"/>
        </w:rPr>
        <w:t>diese Fragestell</w:t>
      </w:r>
      <w:r w:rsidR="00234B1E">
        <w:rPr>
          <w:rFonts w:cs="Arial"/>
          <w:b w:val="0"/>
          <w:spacing w:val="0"/>
          <w:sz w:val="20"/>
          <w:lang w:eastAsia="ko-KR"/>
        </w:rPr>
        <w:t>ung fachlich beantworte</w:t>
      </w:r>
      <w:r w:rsidR="00A00F44">
        <w:rPr>
          <w:rFonts w:cs="Arial"/>
          <w:b w:val="0"/>
          <w:spacing w:val="0"/>
          <w:sz w:val="20"/>
          <w:lang w:eastAsia="ko-KR"/>
        </w:rPr>
        <w:t>t.</w:t>
      </w:r>
    </w:p>
    <w:p w:rsidR="005E4D4F" w:rsidRPr="00295E87" w:rsidRDefault="005E4D4F" w:rsidP="005E4D4F">
      <w:pPr>
        <w:pStyle w:val="Ueberschrift"/>
        <w:rPr>
          <w:rFonts w:cs="Arial"/>
        </w:rPr>
      </w:pPr>
      <w:r w:rsidRPr="00295E87">
        <w:rPr>
          <w:rFonts w:cs="Arial"/>
        </w:rPr>
        <w:t>Methodische Vorgangsweise</w:t>
      </w:r>
    </w:p>
    <w:p w:rsidR="00B545E2" w:rsidRDefault="00E93DE5" w:rsidP="00227125">
      <w:pPr>
        <w:rPr>
          <w:rFonts w:cs="Arial"/>
        </w:rPr>
      </w:pPr>
      <w:r>
        <w:rPr>
          <w:rFonts w:cs="Arial"/>
        </w:rPr>
        <w:t xml:space="preserve">Die </w:t>
      </w:r>
      <w:r w:rsidR="009F64D0">
        <w:rPr>
          <w:rFonts w:cs="Arial"/>
        </w:rPr>
        <w:t xml:space="preserve">Szenarien und die </w:t>
      </w:r>
      <w:r>
        <w:rPr>
          <w:rFonts w:cs="Arial"/>
        </w:rPr>
        <w:t>Methoden zur Identifikation der Projek</w:t>
      </w:r>
      <w:r w:rsidR="00536B11">
        <w:rPr>
          <w:rFonts w:cs="Arial"/>
        </w:rPr>
        <w:t xml:space="preserve">te wurden bereits in Rahmen </w:t>
      </w:r>
      <w:r w:rsidR="001F65E7">
        <w:rPr>
          <w:rFonts w:cs="Arial"/>
        </w:rPr>
        <w:t xml:space="preserve">der EnInnov2018 </w:t>
      </w:r>
      <w:sdt>
        <w:sdtPr>
          <w:rPr>
            <w:rFonts w:cs="Arial"/>
            <w:b/>
          </w:rPr>
          <w:id w:val="-847867228"/>
          <w:citation/>
        </w:sdtPr>
        <w:sdtEndPr/>
        <w:sdtContent>
          <w:r w:rsidR="001F65E7" w:rsidRPr="00284965">
            <w:rPr>
              <w:rFonts w:cs="Arial"/>
              <w:b/>
            </w:rPr>
            <w:fldChar w:fldCharType="begin"/>
          </w:r>
          <w:r w:rsidR="001F65E7" w:rsidRPr="00284965">
            <w:rPr>
              <w:rFonts w:cs="Arial"/>
              <w:b/>
              <w:lang w:val="de-AT"/>
            </w:rPr>
            <w:instrText xml:space="preserve"> CITATION APG18 \l 3079 </w:instrText>
          </w:r>
          <w:r w:rsidR="001F65E7" w:rsidRPr="00284965">
            <w:rPr>
              <w:rFonts w:cs="Arial"/>
              <w:b/>
            </w:rPr>
            <w:fldChar w:fldCharType="separate"/>
          </w:r>
          <w:r w:rsidR="0037132D" w:rsidRPr="00284965">
            <w:rPr>
              <w:rFonts w:cs="Arial"/>
              <w:b/>
              <w:noProof/>
              <w:lang w:val="de-AT"/>
            </w:rPr>
            <w:t>[2]</w:t>
          </w:r>
          <w:r w:rsidR="001F65E7" w:rsidRPr="00284965">
            <w:rPr>
              <w:rFonts w:cs="Arial"/>
              <w:b/>
            </w:rPr>
            <w:fldChar w:fldCharType="end"/>
          </w:r>
        </w:sdtContent>
      </w:sdt>
      <w:r w:rsidR="009F64D0">
        <w:rPr>
          <w:rFonts w:cs="Arial"/>
        </w:rPr>
        <w:t xml:space="preserve"> vorgestellt</w:t>
      </w:r>
      <w:r>
        <w:rPr>
          <w:rFonts w:cs="Arial"/>
        </w:rPr>
        <w:t xml:space="preserve">. Die </w:t>
      </w:r>
      <w:r w:rsidR="00536B11">
        <w:rPr>
          <w:rFonts w:cs="Arial"/>
        </w:rPr>
        <w:t xml:space="preserve">volkswirtschaftliche Bewertung der TYNDP 2018 Projekte wird anhand der Ergebnisse der Kosten-Nutzen-Analyse (CBA) zum TYNDP 2018 der ENTSO-E </w:t>
      </w:r>
      <w:r w:rsidR="001F65E7">
        <w:rPr>
          <w:rFonts w:cs="Arial"/>
        </w:rPr>
        <w:t>durchgeführt</w:t>
      </w:r>
      <w:r w:rsidR="00536B11">
        <w:rPr>
          <w:rFonts w:cs="Arial"/>
        </w:rPr>
        <w:t xml:space="preserve">. </w:t>
      </w:r>
      <w:r w:rsidR="00B545E2">
        <w:rPr>
          <w:rFonts w:cs="Arial"/>
        </w:rPr>
        <w:t xml:space="preserve">Wesentliche </w:t>
      </w:r>
      <w:r w:rsidR="00C12C2C">
        <w:rPr>
          <w:rFonts w:cs="Arial"/>
        </w:rPr>
        <w:t xml:space="preserve">Punkte für die </w:t>
      </w:r>
      <w:r w:rsidR="00B545E2">
        <w:rPr>
          <w:rFonts w:cs="Arial"/>
        </w:rPr>
        <w:t xml:space="preserve">Fragestellungen </w:t>
      </w:r>
      <w:r w:rsidR="00EC17AA">
        <w:rPr>
          <w:rFonts w:cs="Arial"/>
        </w:rPr>
        <w:t>ist</w:t>
      </w:r>
      <w:r w:rsidR="00B545E2">
        <w:rPr>
          <w:rFonts w:cs="Arial"/>
        </w:rPr>
        <w:t xml:space="preserve"> die Diskussion der </w:t>
      </w:r>
      <w:proofErr w:type="spellStart"/>
      <w:r w:rsidR="00B545E2">
        <w:rPr>
          <w:rFonts w:cs="Arial"/>
        </w:rPr>
        <w:t>monetarisierbaren</w:t>
      </w:r>
      <w:proofErr w:type="spellEnd"/>
      <w:r w:rsidR="00B545E2">
        <w:rPr>
          <w:rFonts w:cs="Arial"/>
        </w:rPr>
        <w:t xml:space="preserve"> volkswirtschaftlichen Indikatoren im Vergleich zu den </w:t>
      </w:r>
      <w:r w:rsidR="00E47225">
        <w:rPr>
          <w:rFonts w:cs="Arial"/>
        </w:rPr>
        <w:t>Investitionskosten</w:t>
      </w:r>
      <w:r w:rsidR="00B545E2">
        <w:rPr>
          <w:rFonts w:cs="Arial"/>
        </w:rPr>
        <w:t xml:space="preserve"> der Projekte </w:t>
      </w:r>
      <w:r w:rsidR="00E47225">
        <w:rPr>
          <w:rFonts w:cs="Arial"/>
        </w:rPr>
        <w:t xml:space="preserve">und mögliche Vergleichswerte zum Thema Versorgungssicherheit </w:t>
      </w:r>
      <w:sdt>
        <w:sdtPr>
          <w:rPr>
            <w:rFonts w:cs="Arial"/>
            <w:b/>
          </w:rPr>
          <w:id w:val="-310483919"/>
          <w:citation/>
        </w:sdtPr>
        <w:sdtEndPr/>
        <w:sdtContent>
          <w:r w:rsidR="00E47225" w:rsidRPr="00284965">
            <w:rPr>
              <w:rFonts w:cs="Arial"/>
              <w:b/>
            </w:rPr>
            <w:fldChar w:fldCharType="begin"/>
          </w:r>
          <w:r w:rsidR="00E47225" w:rsidRPr="00284965">
            <w:rPr>
              <w:rFonts w:cs="Arial"/>
              <w:b/>
              <w:lang w:val="de-AT"/>
            </w:rPr>
            <w:instrText xml:space="preserve"> CITATION JRe11 \l 3079 </w:instrText>
          </w:r>
          <w:r w:rsidR="00E47225" w:rsidRPr="00284965">
            <w:rPr>
              <w:rFonts w:cs="Arial"/>
              <w:b/>
            </w:rPr>
            <w:fldChar w:fldCharType="separate"/>
          </w:r>
          <w:r w:rsidR="0037132D" w:rsidRPr="00284965">
            <w:rPr>
              <w:rFonts w:cs="Arial"/>
              <w:b/>
              <w:noProof/>
              <w:lang w:val="de-AT"/>
            </w:rPr>
            <w:t>[3]</w:t>
          </w:r>
          <w:r w:rsidR="00E47225" w:rsidRPr="00284965">
            <w:rPr>
              <w:rFonts w:cs="Arial"/>
              <w:b/>
            </w:rPr>
            <w:fldChar w:fldCharType="end"/>
          </w:r>
        </w:sdtContent>
      </w:sdt>
      <w:r w:rsidR="00EC17AA">
        <w:rPr>
          <w:rFonts w:cs="Arial"/>
        </w:rPr>
        <w:t>,</w:t>
      </w:r>
      <w:r w:rsidR="00E47225">
        <w:rPr>
          <w:rFonts w:cs="Arial"/>
        </w:rPr>
        <w:t xml:space="preserve"> Klimaschutz</w:t>
      </w:r>
      <w:r w:rsidR="00C12C2C">
        <w:rPr>
          <w:rFonts w:cs="Arial"/>
        </w:rPr>
        <w:t xml:space="preserve">vermeidungskosten </w:t>
      </w:r>
      <w:sdt>
        <w:sdtPr>
          <w:rPr>
            <w:rFonts w:cs="Arial"/>
          </w:rPr>
          <w:id w:val="-1284177421"/>
          <w:citation/>
        </w:sdtPr>
        <w:sdtEndPr/>
        <w:sdtContent>
          <w:r w:rsidR="00C12C2C">
            <w:rPr>
              <w:rFonts w:cs="Arial"/>
            </w:rPr>
            <w:fldChar w:fldCharType="begin"/>
          </w:r>
          <w:r w:rsidR="00C12C2C">
            <w:rPr>
              <w:rFonts w:cs="Arial"/>
              <w:lang w:val="de-AT"/>
            </w:rPr>
            <w:instrText xml:space="preserve">CITATION KSt15 \l 3079 </w:instrText>
          </w:r>
          <w:r w:rsidR="00C12C2C">
            <w:rPr>
              <w:rFonts w:cs="Arial"/>
            </w:rPr>
            <w:fldChar w:fldCharType="separate"/>
          </w:r>
          <w:r w:rsidR="0037132D" w:rsidRPr="00284965">
            <w:rPr>
              <w:rFonts w:cs="Arial"/>
              <w:b/>
              <w:noProof/>
              <w:lang w:val="de-AT"/>
            </w:rPr>
            <w:t>[4</w:t>
          </w:r>
          <w:r w:rsidR="0037132D" w:rsidRPr="0037132D">
            <w:rPr>
              <w:rFonts w:cs="Arial"/>
              <w:noProof/>
              <w:lang w:val="de-AT"/>
            </w:rPr>
            <w:t>]</w:t>
          </w:r>
          <w:r w:rsidR="00C12C2C">
            <w:rPr>
              <w:rFonts w:cs="Arial"/>
            </w:rPr>
            <w:fldChar w:fldCharType="end"/>
          </w:r>
        </w:sdtContent>
      </w:sdt>
      <w:r w:rsidR="00EC17AA">
        <w:rPr>
          <w:rFonts w:cs="Arial"/>
        </w:rPr>
        <w:t xml:space="preserve"> und </w:t>
      </w:r>
      <w:r w:rsidR="009F64D0">
        <w:rPr>
          <w:rFonts w:cs="Arial"/>
        </w:rPr>
        <w:t>Engpassmanagementkosten</w:t>
      </w:r>
      <w:r w:rsidR="00C12C2C">
        <w:rPr>
          <w:rFonts w:cs="Arial"/>
        </w:rPr>
        <w:t xml:space="preserve">. </w:t>
      </w:r>
      <w:r w:rsidR="001F65E7">
        <w:rPr>
          <w:rFonts w:cs="Arial"/>
        </w:rPr>
        <w:t xml:space="preserve">Auch eine Diskussion der Ergebnisse zu den nicht </w:t>
      </w:r>
      <w:proofErr w:type="spellStart"/>
      <w:r w:rsidR="001F65E7">
        <w:rPr>
          <w:rFonts w:cs="Arial"/>
        </w:rPr>
        <w:t>monetarisierbaren</w:t>
      </w:r>
      <w:proofErr w:type="spellEnd"/>
      <w:r w:rsidR="001F65E7">
        <w:rPr>
          <w:rFonts w:cs="Arial"/>
        </w:rPr>
        <w:t xml:space="preserve"> und zusätzlichen </w:t>
      </w:r>
      <w:r w:rsidR="00234B1E">
        <w:rPr>
          <w:rFonts w:cs="Arial"/>
        </w:rPr>
        <w:t xml:space="preserve">Indikatoren </w:t>
      </w:r>
      <w:r w:rsidR="004511D3">
        <w:rPr>
          <w:rFonts w:cs="Arial"/>
        </w:rPr>
        <w:t xml:space="preserve">von </w:t>
      </w:r>
      <w:r w:rsidR="00234B1E">
        <w:rPr>
          <w:rFonts w:cs="Arial"/>
        </w:rPr>
        <w:t>Projekte</w:t>
      </w:r>
      <w:r w:rsidR="004511D3">
        <w:rPr>
          <w:rFonts w:cs="Arial"/>
        </w:rPr>
        <w:t>n</w:t>
      </w:r>
      <w:r w:rsidR="00234B1E">
        <w:rPr>
          <w:rFonts w:cs="Arial"/>
        </w:rPr>
        <w:t xml:space="preserve"> wird vorgenommen. </w:t>
      </w:r>
    </w:p>
    <w:p w:rsidR="005E4D4F" w:rsidRPr="00295E87" w:rsidRDefault="00536B11" w:rsidP="00227125">
      <w:pPr>
        <w:rPr>
          <w:rFonts w:cs="Arial"/>
        </w:rPr>
      </w:pPr>
      <w:r>
        <w:rPr>
          <w:rFonts w:cs="Arial"/>
        </w:rPr>
        <w:t xml:space="preserve">Des Weiteren wurden anhand der Detailergebnisse des TYNDP 2018 </w:t>
      </w:r>
      <w:r w:rsidR="00234B1E">
        <w:rPr>
          <w:rFonts w:cs="Arial"/>
        </w:rPr>
        <w:t xml:space="preserve">eine tiefergehende Analyse der Effekte der dezentralen Erzeugung PV </w:t>
      </w:r>
      <w:r w:rsidR="004646E2">
        <w:rPr>
          <w:rFonts w:cs="Arial"/>
        </w:rPr>
        <w:t xml:space="preserve">auf das Übertragungsnetz der APG </w:t>
      </w:r>
      <w:r w:rsidR="004C1A62">
        <w:rPr>
          <w:rFonts w:cs="Arial"/>
        </w:rPr>
        <w:t xml:space="preserve">für Österreich vorgenommen. Fokus liegt dabei auch auf den Ergebnissen der drei repräsentativen Wetterjahre des TYNDP 2018. </w:t>
      </w:r>
      <w:r w:rsidR="00603E8E">
        <w:rPr>
          <w:rFonts w:cs="Arial"/>
        </w:rPr>
        <w:t>Die Details zu den Methoden im TYNDP</w:t>
      </w:r>
      <w:r w:rsidR="00595264">
        <w:rPr>
          <w:rFonts w:cs="Arial"/>
        </w:rPr>
        <w:t>, die zugrundeliegenden</w:t>
      </w:r>
      <w:r w:rsidR="00603E8E">
        <w:rPr>
          <w:rFonts w:cs="Arial"/>
        </w:rPr>
        <w:t xml:space="preserve"> </w:t>
      </w:r>
      <w:r w:rsidR="00595264">
        <w:rPr>
          <w:rFonts w:cs="Arial"/>
        </w:rPr>
        <w:t xml:space="preserve">Eingangsdaten und Ergebnisse der einzelnen Projekte </w:t>
      </w:r>
      <w:r w:rsidR="00B53E15">
        <w:rPr>
          <w:rFonts w:cs="Arial"/>
        </w:rPr>
        <w:t xml:space="preserve">finden sich auf </w:t>
      </w:r>
      <w:r w:rsidR="00595264">
        <w:rPr>
          <w:rFonts w:cs="Arial"/>
        </w:rPr>
        <w:t>der Projekt</w:t>
      </w:r>
      <w:r w:rsidR="00A00F44">
        <w:rPr>
          <w:rFonts w:cs="Arial"/>
        </w:rPr>
        <w:t>-Web</w:t>
      </w:r>
      <w:r w:rsidR="00595264">
        <w:rPr>
          <w:rFonts w:cs="Arial"/>
        </w:rPr>
        <w:t xml:space="preserve">seite des TYNDP 2018. </w:t>
      </w:r>
      <w:sdt>
        <w:sdtPr>
          <w:rPr>
            <w:rFonts w:cs="Arial"/>
            <w:b/>
          </w:rPr>
          <w:id w:val="-1545594363"/>
          <w:citation/>
        </w:sdtPr>
        <w:sdtEndPr/>
        <w:sdtContent>
          <w:r w:rsidR="00595264" w:rsidRPr="00284965">
            <w:rPr>
              <w:rFonts w:cs="Arial"/>
              <w:b/>
            </w:rPr>
            <w:fldChar w:fldCharType="begin"/>
          </w:r>
          <w:r w:rsidR="00595264" w:rsidRPr="00284965">
            <w:rPr>
              <w:rFonts w:cs="Arial"/>
              <w:b/>
              <w:lang w:val="de-AT"/>
            </w:rPr>
            <w:instrText xml:space="preserve"> CITATION ENT18 \l 3079 </w:instrText>
          </w:r>
          <w:r w:rsidR="00595264" w:rsidRPr="00284965">
            <w:rPr>
              <w:rFonts w:cs="Arial"/>
              <w:b/>
            </w:rPr>
            <w:fldChar w:fldCharType="separate"/>
          </w:r>
          <w:r w:rsidR="0037132D" w:rsidRPr="00284965">
            <w:rPr>
              <w:rFonts w:cs="Arial"/>
              <w:b/>
              <w:noProof/>
              <w:lang w:val="de-AT"/>
            </w:rPr>
            <w:t>[5]</w:t>
          </w:r>
          <w:r w:rsidR="00595264" w:rsidRPr="00284965">
            <w:rPr>
              <w:rFonts w:cs="Arial"/>
              <w:b/>
            </w:rPr>
            <w:fldChar w:fldCharType="end"/>
          </w:r>
        </w:sdtContent>
      </w:sdt>
    </w:p>
    <w:p w:rsidR="005E4D4F" w:rsidRPr="00295E87" w:rsidRDefault="005E4D4F" w:rsidP="005E4D4F">
      <w:pPr>
        <w:pStyle w:val="Ueberschrift"/>
        <w:rPr>
          <w:rFonts w:cs="Arial"/>
        </w:rPr>
      </w:pPr>
      <w:r w:rsidRPr="00295E87">
        <w:rPr>
          <w:rFonts w:cs="Arial"/>
        </w:rPr>
        <w:t>Ergebnisse und Schlussfolgerungen</w:t>
      </w:r>
    </w:p>
    <w:p w:rsidR="008255EB" w:rsidRDefault="00F602A4" w:rsidP="00F10ED2">
      <w:pPr>
        <w:rPr>
          <w:rFonts w:cs="Arial"/>
        </w:rPr>
      </w:pPr>
      <w:r>
        <w:rPr>
          <w:rFonts w:cs="Arial"/>
        </w:rPr>
        <w:t xml:space="preserve">Die </w:t>
      </w:r>
      <w:r w:rsidR="00C16957">
        <w:rPr>
          <w:rFonts w:cs="Arial"/>
        </w:rPr>
        <w:t xml:space="preserve">TYNDP </w:t>
      </w:r>
      <w:r>
        <w:rPr>
          <w:rFonts w:cs="Arial"/>
        </w:rPr>
        <w:t xml:space="preserve">Projekte der APG zeigen </w:t>
      </w:r>
      <w:r w:rsidR="00C16957">
        <w:rPr>
          <w:rFonts w:cs="Arial"/>
        </w:rPr>
        <w:t xml:space="preserve">in allen Szenarien </w:t>
      </w:r>
      <w:r w:rsidR="00571D28">
        <w:rPr>
          <w:rFonts w:cs="Arial"/>
        </w:rPr>
        <w:t xml:space="preserve">einen positiven </w:t>
      </w:r>
      <w:proofErr w:type="spellStart"/>
      <w:r w:rsidR="00284965">
        <w:rPr>
          <w:rFonts w:cs="Arial"/>
        </w:rPr>
        <w:t>Social</w:t>
      </w:r>
      <w:proofErr w:type="spellEnd"/>
      <w:r w:rsidR="00284965">
        <w:rPr>
          <w:rFonts w:cs="Arial"/>
        </w:rPr>
        <w:t xml:space="preserve"> </w:t>
      </w:r>
      <w:proofErr w:type="spellStart"/>
      <w:r w:rsidR="00284965">
        <w:rPr>
          <w:rFonts w:cs="Arial"/>
        </w:rPr>
        <w:t>Economic</w:t>
      </w:r>
      <w:proofErr w:type="spellEnd"/>
      <w:r w:rsidR="00284965">
        <w:rPr>
          <w:rFonts w:cs="Arial"/>
        </w:rPr>
        <w:t xml:space="preserve"> </w:t>
      </w:r>
      <w:proofErr w:type="spellStart"/>
      <w:r w:rsidR="00284965">
        <w:rPr>
          <w:rFonts w:cs="Arial"/>
        </w:rPr>
        <w:t>W</w:t>
      </w:r>
      <w:r w:rsidR="00284965" w:rsidRPr="00284965">
        <w:rPr>
          <w:rFonts w:cs="Arial"/>
        </w:rPr>
        <w:t>elfare</w:t>
      </w:r>
      <w:proofErr w:type="spellEnd"/>
      <w:r w:rsidR="00A00F44">
        <w:rPr>
          <w:rFonts w:cs="Arial"/>
        </w:rPr>
        <w:t xml:space="preserve"> </w:t>
      </w:r>
      <w:r w:rsidR="00284965">
        <w:rPr>
          <w:rFonts w:cs="Arial"/>
        </w:rPr>
        <w:t>(SEW</w:t>
      </w:r>
      <w:r w:rsidR="00A00F44">
        <w:rPr>
          <w:rFonts w:cs="Arial"/>
        </w:rPr>
        <w:t>)</w:t>
      </w:r>
      <w:r w:rsidR="00571D28">
        <w:rPr>
          <w:rFonts w:cs="Arial"/>
        </w:rPr>
        <w:t xml:space="preserve">. Auch wirken sich alle Projekte im DG2030 Szenario </w:t>
      </w:r>
      <w:r w:rsidR="004511D3">
        <w:rPr>
          <w:rFonts w:cs="Arial"/>
        </w:rPr>
        <w:t xml:space="preserve">bedeutend </w:t>
      </w:r>
      <w:r w:rsidR="00571D28">
        <w:rPr>
          <w:rFonts w:cs="Arial"/>
        </w:rPr>
        <w:t xml:space="preserve">positiv auf die Integration der </w:t>
      </w:r>
      <w:r w:rsidR="00571D28">
        <w:rPr>
          <w:rFonts w:cs="Arial"/>
        </w:rPr>
        <w:lastRenderedPageBreak/>
        <w:t>Erneuerbaren Energien und auf die Reduktion der CO</w:t>
      </w:r>
      <w:r w:rsidR="00571D28" w:rsidRPr="00571D28">
        <w:rPr>
          <w:rFonts w:cs="Arial"/>
          <w:vertAlign w:val="subscript"/>
        </w:rPr>
        <w:t>2</w:t>
      </w:r>
      <w:r w:rsidR="00A00F44">
        <w:rPr>
          <w:rFonts w:cs="Arial"/>
        </w:rPr>
        <w:t>-</w:t>
      </w:r>
      <w:r w:rsidR="00571D28">
        <w:rPr>
          <w:rFonts w:cs="Arial"/>
        </w:rPr>
        <w:t xml:space="preserve">Emission aus. </w:t>
      </w:r>
      <w:r w:rsidR="00621F2F">
        <w:rPr>
          <w:rFonts w:cs="Arial"/>
        </w:rPr>
        <w:t xml:space="preserve">Bei der größten Gruppe der analysierten Wetterjahre, repräsentiert durch das Wetterjahr 2007, zeigen die Indikatoren der APG Projekte wesentlich höhere positive Ergebnisse. Diese Gruppe der Wetterjahre zeigt eine vergleichsweise hohe </w:t>
      </w:r>
      <w:r w:rsidR="008255EB">
        <w:rPr>
          <w:rFonts w:cs="Arial"/>
        </w:rPr>
        <w:t>Erzeugung aus Windkraft, Wasserkraft in Skandinavien und einen etwas geringeren Verbrauch in Europa.</w:t>
      </w:r>
    </w:p>
    <w:p w:rsidR="00A00F44" w:rsidRDefault="00DC4C99" w:rsidP="00F10ED2">
      <w:pPr>
        <w:rPr>
          <w:rFonts w:cs="Arial"/>
        </w:rPr>
      </w:pPr>
      <w:r>
        <w:rPr>
          <w:rFonts w:cs="Arial"/>
        </w:rPr>
        <w:t xml:space="preserve">Stellt man die </w:t>
      </w:r>
      <w:r w:rsidR="006C2438">
        <w:rPr>
          <w:rFonts w:cs="Arial"/>
        </w:rPr>
        <w:t xml:space="preserve">einmaligen </w:t>
      </w:r>
      <w:r>
        <w:rPr>
          <w:rFonts w:cs="Arial"/>
        </w:rPr>
        <w:t xml:space="preserve">Investitionskosten von </w:t>
      </w:r>
      <w:r w:rsidR="00D27600">
        <w:rPr>
          <w:rFonts w:cs="Arial"/>
        </w:rPr>
        <w:t xml:space="preserve">rd. </w:t>
      </w:r>
      <w:r>
        <w:rPr>
          <w:rFonts w:cs="Arial"/>
        </w:rPr>
        <w:t xml:space="preserve">2,5 Mrd. € </w:t>
      </w:r>
      <w:r w:rsidR="009D6E33">
        <w:rPr>
          <w:rFonts w:cs="Arial"/>
        </w:rPr>
        <w:t>der Projekte den möglichen Kosten eines</w:t>
      </w:r>
      <w:r>
        <w:rPr>
          <w:rFonts w:cs="Arial"/>
        </w:rPr>
        <w:t xml:space="preserve"> </w:t>
      </w:r>
      <w:r w:rsidR="009D6E33">
        <w:rPr>
          <w:rFonts w:cs="Arial"/>
        </w:rPr>
        <w:t>24</w:t>
      </w:r>
      <w:r w:rsidR="006C2438">
        <w:rPr>
          <w:rFonts w:cs="Arial"/>
        </w:rPr>
        <w:t> </w:t>
      </w:r>
      <w:r w:rsidR="009D6E33">
        <w:rPr>
          <w:rFonts w:cs="Arial"/>
        </w:rPr>
        <w:t xml:space="preserve">h </w:t>
      </w:r>
      <w:r>
        <w:rPr>
          <w:rFonts w:cs="Arial"/>
        </w:rPr>
        <w:t xml:space="preserve">Blackouts </w:t>
      </w:r>
      <w:r w:rsidR="009D6E33">
        <w:rPr>
          <w:rFonts w:cs="Arial"/>
        </w:rPr>
        <w:t>allein in Öster</w:t>
      </w:r>
      <w:r w:rsidR="006C2438">
        <w:rPr>
          <w:rFonts w:cs="Arial"/>
        </w:rPr>
        <w:t>reich mit 1,2 Mrd. </w:t>
      </w:r>
      <w:r w:rsidR="009D6E33">
        <w:rPr>
          <w:rFonts w:cs="Arial"/>
        </w:rPr>
        <w:t xml:space="preserve">€, den bereits heute jährlichen anfallenden Kosten der wetter- und klimabedingten Schäden von </w:t>
      </w:r>
      <w:r w:rsidR="00B17884">
        <w:rPr>
          <w:rFonts w:cs="Arial"/>
        </w:rPr>
        <w:t>1 </w:t>
      </w:r>
      <w:r w:rsidR="006C2438">
        <w:rPr>
          <w:rFonts w:cs="Arial"/>
        </w:rPr>
        <w:t>Mrd. </w:t>
      </w:r>
      <w:r w:rsidR="009D6E33">
        <w:rPr>
          <w:rFonts w:cs="Arial"/>
        </w:rPr>
        <w:t>€</w:t>
      </w:r>
      <w:r w:rsidR="006C2438">
        <w:rPr>
          <w:rFonts w:cs="Arial"/>
        </w:rPr>
        <w:t xml:space="preserve"> oder </w:t>
      </w:r>
      <w:r w:rsidR="009D6E33">
        <w:rPr>
          <w:rFonts w:cs="Arial"/>
        </w:rPr>
        <w:t>den mögli</w:t>
      </w:r>
      <w:r w:rsidR="006C2438">
        <w:rPr>
          <w:rFonts w:cs="Arial"/>
        </w:rPr>
        <w:t>chen jährlichen Schäden von 3,8 </w:t>
      </w:r>
      <w:r w:rsidR="00B17884">
        <w:rPr>
          <w:rFonts w:cs="Arial"/>
        </w:rPr>
        <w:t>Mrd. </w:t>
      </w:r>
      <w:r w:rsidR="009D6E33">
        <w:rPr>
          <w:rFonts w:cs="Arial"/>
        </w:rPr>
        <w:t>€ bis zu</w:t>
      </w:r>
      <w:r w:rsidR="006C2438">
        <w:rPr>
          <w:rFonts w:cs="Arial"/>
        </w:rPr>
        <w:t xml:space="preserve"> 8</w:t>
      </w:r>
      <w:r w:rsidR="00B17884">
        <w:rPr>
          <w:rFonts w:cs="Arial"/>
        </w:rPr>
        <w:t>,8 </w:t>
      </w:r>
      <w:r w:rsidR="006C2438">
        <w:rPr>
          <w:rFonts w:cs="Arial"/>
        </w:rPr>
        <w:t>Mrd. € bis 2050 gegenüber</w:t>
      </w:r>
      <w:r w:rsidR="00A00F44">
        <w:rPr>
          <w:rFonts w:cs="Arial"/>
        </w:rPr>
        <w:t>,</w:t>
      </w:r>
      <w:r w:rsidR="006C2438">
        <w:rPr>
          <w:rFonts w:cs="Arial"/>
        </w:rPr>
        <w:t xml:space="preserve"> ist der positive Nutzen der TYNDP Projekte </w:t>
      </w:r>
      <w:r w:rsidR="00B17884">
        <w:rPr>
          <w:rFonts w:cs="Arial"/>
        </w:rPr>
        <w:t>im Sinne der Versorgungsicherheit und des Klimaschutzes</w:t>
      </w:r>
      <w:r w:rsidR="000A052A" w:rsidRPr="000A052A">
        <w:rPr>
          <w:rFonts w:cs="Arial"/>
        </w:rPr>
        <w:t xml:space="preserve"> </w:t>
      </w:r>
      <w:r w:rsidR="000A052A">
        <w:rPr>
          <w:rFonts w:cs="Arial"/>
        </w:rPr>
        <w:t>in Österreich</w:t>
      </w:r>
      <w:r w:rsidR="00B17884">
        <w:rPr>
          <w:rFonts w:cs="Arial"/>
        </w:rPr>
        <w:t xml:space="preserve"> klar ersichtlich. </w:t>
      </w:r>
      <w:r w:rsidR="004B7F61">
        <w:rPr>
          <w:rFonts w:cs="Arial"/>
        </w:rPr>
        <w:t xml:space="preserve">Auch zeigen die Detailergebnisse des TYDNP 2018, dass die </w:t>
      </w:r>
      <w:proofErr w:type="spellStart"/>
      <w:r w:rsidR="004B7F61">
        <w:rPr>
          <w:rFonts w:cs="Arial"/>
        </w:rPr>
        <w:t>Versiebenfachung</w:t>
      </w:r>
      <w:proofErr w:type="spellEnd"/>
      <w:r w:rsidR="004B7F61">
        <w:rPr>
          <w:rFonts w:cs="Arial"/>
        </w:rPr>
        <w:t xml:space="preserve"> der installierten Leistung an PV in Österreich im Vergleich zu heute zu keiner Entlastung des Übertragungsnetzes führen wird. </w:t>
      </w:r>
    </w:p>
    <w:p w:rsidR="00F10ED2" w:rsidRDefault="004B7F61" w:rsidP="00F10ED2">
      <w:pPr>
        <w:rPr>
          <w:rFonts w:cs="Arial"/>
        </w:rPr>
      </w:pPr>
      <w:r>
        <w:rPr>
          <w:rFonts w:cs="Arial"/>
        </w:rPr>
        <w:t>Betrachtet man die Ergebnisse der Simulationen im TYNDP 2018 und stellt sie den möglichen Risiken gegenüber</w:t>
      </w:r>
      <w:r w:rsidR="00A00F44">
        <w:rPr>
          <w:rFonts w:cs="Arial"/>
        </w:rPr>
        <w:t xml:space="preserve">, zeigt sich </w:t>
      </w:r>
      <w:r w:rsidR="001C1638">
        <w:rPr>
          <w:rFonts w:cs="Arial"/>
        </w:rPr>
        <w:t>eindeutig,</w:t>
      </w:r>
      <w:r w:rsidR="00A00F44">
        <w:rPr>
          <w:rFonts w:cs="Arial"/>
        </w:rPr>
        <w:t xml:space="preserve"> dass</w:t>
      </w:r>
      <w:r>
        <w:rPr>
          <w:rFonts w:cs="Arial"/>
        </w:rPr>
        <w:t xml:space="preserve"> der Ausbau des Übertragungsnetzes volkswirtschaftlich sinnvoll</w:t>
      </w:r>
      <w:r w:rsidR="00A00F44">
        <w:rPr>
          <w:rFonts w:cs="Arial"/>
        </w:rPr>
        <w:t xml:space="preserve"> ist</w:t>
      </w:r>
      <w:r>
        <w:rPr>
          <w:rFonts w:cs="Arial"/>
        </w:rPr>
        <w:t xml:space="preserve">. Die </w:t>
      </w:r>
      <w:r w:rsidR="00F10ED2">
        <w:rPr>
          <w:rFonts w:cs="Arial"/>
        </w:rPr>
        <w:t>im Titel des Beitrags gestellte Frage kann daher auf Basis der vorliegenden Ergebnisse des TYNDP 2018 mit einem klaren NEIN beantwortet werden. Ganz im Gegenteil</w:t>
      </w:r>
      <w:r w:rsidR="00E7092D">
        <w:rPr>
          <w:rFonts w:cs="Arial"/>
        </w:rPr>
        <w:t xml:space="preserve"> zur </w:t>
      </w:r>
      <w:r w:rsidR="00B001B7">
        <w:rPr>
          <w:rFonts w:cs="Arial"/>
        </w:rPr>
        <w:t>Fragestellung</w:t>
      </w:r>
      <w:r w:rsidR="00F10ED2">
        <w:rPr>
          <w:rFonts w:cs="Arial"/>
        </w:rPr>
        <w:t xml:space="preserve"> ist der Ausbau </w:t>
      </w:r>
      <w:r w:rsidR="004511D3">
        <w:rPr>
          <w:rFonts w:cs="Arial"/>
        </w:rPr>
        <w:t xml:space="preserve">der elektrischen Netze </w:t>
      </w:r>
      <w:r w:rsidR="00F10ED2">
        <w:rPr>
          <w:rFonts w:cs="Arial"/>
        </w:rPr>
        <w:t xml:space="preserve">in einem zukünftigen </w:t>
      </w:r>
      <w:r w:rsidR="009D50C9">
        <w:rPr>
          <w:rFonts w:cs="Arial"/>
        </w:rPr>
        <w:t xml:space="preserve">vermehrten </w:t>
      </w:r>
      <w:r w:rsidR="00F10ED2">
        <w:rPr>
          <w:rFonts w:cs="Arial"/>
        </w:rPr>
        <w:t xml:space="preserve">dezentralen und volatilen elektrischen Energieversorgungssystem in besonderen Maße notwendig und </w:t>
      </w:r>
      <w:r w:rsidR="00D27600">
        <w:rPr>
          <w:rFonts w:cs="Arial"/>
        </w:rPr>
        <w:t xml:space="preserve">eine Grundvoraussetzung für das Funktionieren </w:t>
      </w:r>
      <w:r w:rsidR="00A828AD">
        <w:rPr>
          <w:rFonts w:cs="Arial"/>
        </w:rPr>
        <w:t>einer CO</w:t>
      </w:r>
      <w:r w:rsidR="00A828AD" w:rsidRPr="00A828AD">
        <w:rPr>
          <w:rFonts w:cs="Arial"/>
          <w:vertAlign w:val="subscript"/>
        </w:rPr>
        <w:t>2</w:t>
      </w:r>
      <w:r w:rsidR="00A00F44">
        <w:rPr>
          <w:rFonts w:cs="Arial"/>
        </w:rPr>
        <w:t>-</w:t>
      </w:r>
      <w:r w:rsidR="00A828AD">
        <w:rPr>
          <w:rFonts w:cs="Arial"/>
        </w:rPr>
        <w:t>neutralen</w:t>
      </w:r>
      <w:r w:rsidR="001F4232">
        <w:rPr>
          <w:rFonts w:cs="Arial"/>
        </w:rPr>
        <w:t>,</w:t>
      </w:r>
      <w:r w:rsidR="00A828AD">
        <w:rPr>
          <w:rFonts w:cs="Arial"/>
        </w:rPr>
        <w:t xml:space="preserve"> </w:t>
      </w:r>
      <w:r w:rsidR="00D27600">
        <w:rPr>
          <w:rFonts w:cs="Arial"/>
        </w:rPr>
        <w:t xml:space="preserve">elektrifizierten Gesellschaft. </w:t>
      </w:r>
      <w:r w:rsidR="004511D3">
        <w:rPr>
          <w:rFonts w:cs="Arial"/>
        </w:rPr>
        <w:t>Leistungsfähige und ausgebaute Übertragungs- und Verteilernetze stellen auch zukünftig die Grundlage für die Versorgungs- und Systemsicherheit dar.</w:t>
      </w:r>
    </w:p>
    <w:p w:rsidR="00D27600" w:rsidRPr="00295E87" w:rsidRDefault="00D27600" w:rsidP="00F10ED2">
      <w:pPr>
        <w:rPr>
          <w:rFonts w:cs="Arial"/>
        </w:rPr>
      </w:pPr>
      <w:bookmarkStart w:id="0" w:name="_GoBack"/>
      <w:bookmarkEnd w:id="0"/>
    </w:p>
    <w:sdt>
      <w:sdtPr>
        <w:rPr>
          <w:rFonts w:cs="Arial"/>
          <w:b w:val="0"/>
          <w:spacing w:val="0"/>
          <w:sz w:val="20"/>
          <w:lang w:eastAsia="ko-KR"/>
        </w:rPr>
        <w:id w:val="697590929"/>
        <w:docPartObj>
          <w:docPartGallery w:val="Bibliographies"/>
          <w:docPartUnique/>
        </w:docPartObj>
      </w:sdtPr>
      <w:sdtEndPr/>
      <w:sdtContent>
        <w:p w:rsidR="00295E87" w:rsidRPr="00295E87" w:rsidRDefault="00295E87" w:rsidP="00295E87">
          <w:pPr>
            <w:pStyle w:val="Ueberschrift"/>
            <w:rPr>
              <w:rFonts w:cs="Arial"/>
              <w:noProof/>
              <w:szCs w:val="20"/>
              <w:lang w:val="de-AT" w:eastAsia="de-AT"/>
            </w:rPr>
          </w:pPr>
          <w:r w:rsidRPr="005E4D4F">
            <w:t>Literatur</w:t>
          </w:r>
        </w:p>
        <w:sdt>
          <w:sdtPr>
            <w:rPr>
              <w:rFonts w:cs="Arial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:rsidR="0037132D" w:rsidRDefault="00295E87">
              <w:pPr>
                <w:rPr>
                  <w:rFonts w:ascii="Times New Roman" w:hAnsi="Times New Roman"/>
                  <w:noProof/>
                  <w:szCs w:val="20"/>
                  <w:lang w:val="de-AT" w:eastAsia="de-AT"/>
                </w:rPr>
              </w:pPr>
              <w:r w:rsidRPr="00295E87">
                <w:rPr>
                  <w:rFonts w:cs="Arial"/>
                  <w:spacing w:val="-5"/>
                  <w:sz w:val="22"/>
                  <w:lang w:eastAsia="de-DE"/>
                </w:rPr>
                <w:fldChar w:fldCharType="begin"/>
              </w:r>
              <w:r w:rsidRPr="00295E87">
                <w:rPr>
                  <w:rFonts w:cs="Arial"/>
                </w:rPr>
                <w:instrText>BIBLIOGRAPHY</w:instrText>
              </w:r>
              <w:r w:rsidRPr="00295E87">
                <w:rPr>
                  <w:rFonts w:cs="Arial"/>
                  <w:spacing w:val="-5"/>
                  <w:sz w:val="22"/>
                  <w:lang w:eastAsia="de-DE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426"/>
                <w:gridCol w:w="8646"/>
              </w:tblGrid>
              <w:tr w:rsidR="0037132D" w:rsidTr="0037132D">
                <w:trPr>
                  <w:divId w:val="1026560170"/>
                  <w:tblCellSpacing w:w="15" w:type="dxa"/>
                </w:trPr>
                <w:tc>
                  <w:tcPr>
                    <w:tcW w:w="210" w:type="pct"/>
                    <w:hideMark/>
                  </w:tcPr>
                  <w:p w:rsidR="0037132D" w:rsidRDefault="0037132D">
                    <w:pPr>
                      <w:pStyle w:val="Literaturverzeichnis"/>
                      <w:rPr>
                        <w:noProof/>
                        <w:sz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4740" w:type="pct"/>
                    <w:hideMark/>
                  </w:tcPr>
                  <w:p w:rsidR="0037132D" w:rsidRDefault="0037132D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Bundesministerium Nachhaltigkeit und Tourismus &amp; Bundesministerium Verkehr, Innovation und Technologie, „#mission2030 Die österreichische Klima- und Energiestrategie,“ Juni 2018. [Online]. Available: https://mission2030.info/wp-content/uploads/2018/10/Klima-Energiestrategie.pdf. [Zugriff am 24 10 2018].</w:t>
                    </w:r>
                  </w:p>
                </w:tc>
              </w:tr>
              <w:tr w:rsidR="0037132D" w:rsidTr="0037132D">
                <w:trPr>
                  <w:divId w:val="1026560170"/>
                  <w:tblCellSpacing w:w="15" w:type="dxa"/>
                </w:trPr>
                <w:tc>
                  <w:tcPr>
                    <w:tcW w:w="210" w:type="pct"/>
                    <w:hideMark/>
                  </w:tcPr>
                  <w:p w:rsidR="0037132D" w:rsidRDefault="0037132D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[2] </w:t>
                    </w:r>
                  </w:p>
                </w:tc>
                <w:tc>
                  <w:tcPr>
                    <w:tcW w:w="4740" w:type="pct"/>
                    <w:hideMark/>
                  </w:tcPr>
                  <w:p w:rsidR="0037132D" w:rsidRDefault="0037132D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APG - Austrian Power Grid, „Koordinierte Europäische Planung der Übertragungsnetze im Rahmen des TYNDP 2018,“ 15 02 2018. [Online]. Available: https://www.tugraz.at/fileadmin/user_upload/Events/Eninnov2018/files/pr/Session_D3/PR_Oesterbauer.pdf. [Zugriff am 10 2018].</w:t>
                    </w:r>
                  </w:p>
                </w:tc>
              </w:tr>
              <w:tr w:rsidR="0037132D" w:rsidTr="0037132D">
                <w:trPr>
                  <w:divId w:val="1026560170"/>
                  <w:tblCellSpacing w:w="15" w:type="dxa"/>
                </w:trPr>
                <w:tc>
                  <w:tcPr>
                    <w:tcW w:w="210" w:type="pct"/>
                    <w:hideMark/>
                  </w:tcPr>
                  <w:p w:rsidR="0037132D" w:rsidRDefault="0037132D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[3] </w:t>
                    </w:r>
                  </w:p>
                </w:tc>
                <w:tc>
                  <w:tcPr>
                    <w:tcW w:w="4740" w:type="pct"/>
                    <w:hideMark/>
                  </w:tcPr>
                  <w:p w:rsidR="0037132D" w:rsidRDefault="0037132D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J. R. u. M. Schmidthaler, „Blackouts in Österreich (BlackÖ.1),“ 08 2011. [Online]. Available: http://www.blackout-simulator.com/. [Zugriff am 10 2018].</w:t>
                    </w:r>
                  </w:p>
                </w:tc>
              </w:tr>
              <w:tr w:rsidR="0037132D" w:rsidTr="0037132D">
                <w:trPr>
                  <w:divId w:val="1026560170"/>
                  <w:tblCellSpacing w:w="15" w:type="dxa"/>
                </w:trPr>
                <w:tc>
                  <w:tcPr>
                    <w:tcW w:w="210" w:type="pct"/>
                    <w:hideMark/>
                  </w:tcPr>
                  <w:p w:rsidR="0037132D" w:rsidRDefault="0037132D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[4] </w:t>
                    </w:r>
                  </w:p>
                </w:tc>
                <w:tc>
                  <w:tcPr>
                    <w:tcW w:w="4740" w:type="pct"/>
                    <w:hideMark/>
                  </w:tcPr>
                  <w:p w:rsidR="0037132D" w:rsidRDefault="0037132D">
                    <w:pPr>
                      <w:pStyle w:val="Literaturverzeichnis"/>
                      <w:rPr>
                        <w:noProof/>
                      </w:rPr>
                    </w:pPr>
                    <w:r w:rsidRPr="0037132D">
                      <w:rPr>
                        <w:noProof/>
                        <w:lang w:val="en-GB"/>
                      </w:rPr>
                      <w:t xml:space="preserve">K. Steininger, M. König, L. Kranzl, B. Bednar-Friedl, W. Loibl und F. Prettenthaler, „Projektüberblick COIN - Cost of Inaction-Assessing Costs of Climate Change for Austria,“ 2015. </w:t>
                    </w:r>
                    <w:r>
                      <w:rPr>
                        <w:noProof/>
                      </w:rPr>
                      <w:t>[Online]. Available: http://coin.ccca.at/. [Zugriff am 4 4 2016].</w:t>
                    </w:r>
                  </w:p>
                </w:tc>
              </w:tr>
              <w:tr w:rsidR="0037132D" w:rsidTr="0037132D">
                <w:trPr>
                  <w:divId w:val="1026560170"/>
                  <w:tblCellSpacing w:w="15" w:type="dxa"/>
                </w:trPr>
                <w:tc>
                  <w:tcPr>
                    <w:tcW w:w="210" w:type="pct"/>
                    <w:hideMark/>
                  </w:tcPr>
                  <w:p w:rsidR="0037132D" w:rsidRDefault="0037132D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[5] </w:t>
                    </w:r>
                  </w:p>
                </w:tc>
                <w:tc>
                  <w:tcPr>
                    <w:tcW w:w="4740" w:type="pct"/>
                    <w:hideMark/>
                  </w:tcPr>
                  <w:p w:rsidR="0037132D" w:rsidRDefault="0037132D">
                    <w:pPr>
                      <w:pStyle w:val="Literaturverzeichnis"/>
                      <w:rPr>
                        <w:noProof/>
                      </w:rPr>
                    </w:pPr>
                    <w:r w:rsidRPr="0037132D">
                      <w:rPr>
                        <w:noProof/>
                        <w:lang w:val="en-GB"/>
                      </w:rPr>
                      <w:t xml:space="preserve">ENTOS-E, „TYNDP 2018,“ 09 2018. [Online]. Available: https://tyndp.entsoe.eu/tyndp2018/. </w:t>
                    </w:r>
                    <w:r>
                      <w:rPr>
                        <w:noProof/>
                      </w:rPr>
                      <w:t>[Zugriff am 10 2018].</w:t>
                    </w:r>
                  </w:p>
                </w:tc>
              </w:tr>
            </w:tbl>
            <w:p w:rsidR="0037132D" w:rsidRDefault="0037132D">
              <w:pPr>
                <w:divId w:val="1026560170"/>
                <w:rPr>
                  <w:noProof/>
                </w:rPr>
              </w:pPr>
            </w:p>
            <w:p w:rsidR="00295E87" w:rsidRDefault="00295E87">
              <w:r w:rsidRPr="00295E87">
                <w:rPr>
                  <w:rFonts w:cs="Arial"/>
                  <w:b/>
                  <w:bCs/>
                </w:rPr>
                <w:fldChar w:fldCharType="end"/>
              </w:r>
            </w:p>
          </w:sdtContent>
        </w:sdt>
      </w:sdtContent>
    </w:sdt>
    <w:p w:rsidR="005E4D4F" w:rsidRDefault="005E4D4F" w:rsidP="00227125">
      <w:pPr>
        <w:pStyle w:val="Literatur"/>
      </w:pPr>
    </w:p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53" w:rsidRDefault="00680753">
      <w:r>
        <w:separator/>
      </w:r>
    </w:p>
  </w:endnote>
  <w:endnote w:type="continuationSeparator" w:id="0">
    <w:p w:rsidR="00680753" w:rsidRDefault="0068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53" w:rsidRDefault="00680753">
      <w:r>
        <w:separator/>
      </w:r>
    </w:p>
  </w:footnote>
  <w:footnote w:type="continuationSeparator" w:id="0">
    <w:p w:rsidR="00680753" w:rsidRDefault="00680753">
      <w:r>
        <w:continuationSeparator/>
      </w:r>
    </w:p>
  </w:footnote>
  <w:footnote w:id="1">
    <w:p w:rsidR="00D53E86" w:rsidRPr="00C11AEF" w:rsidRDefault="00D53E86" w:rsidP="002014D3">
      <w:pPr>
        <w:rPr>
          <w:sz w:val="18"/>
          <w:szCs w:val="18"/>
        </w:rPr>
      </w:pPr>
      <w:r w:rsidRPr="00C11AEF">
        <w:rPr>
          <w:rStyle w:val="Funotenzeichen"/>
          <w:sz w:val="18"/>
          <w:szCs w:val="18"/>
        </w:rPr>
        <w:footnoteRef/>
      </w:r>
      <w:r w:rsidRPr="00C11AEF">
        <w:rPr>
          <w:sz w:val="18"/>
          <w:szCs w:val="18"/>
        </w:rPr>
        <w:t xml:space="preserve"> </w:t>
      </w:r>
      <w:r w:rsidR="00C11AEF" w:rsidRPr="00C11AEF">
        <w:rPr>
          <w:sz w:val="18"/>
          <w:szCs w:val="18"/>
        </w:rPr>
        <w:t xml:space="preserve">Austrian Power </w:t>
      </w:r>
      <w:proofErr w:type="spellStart"/>
      <w:r w:rsidR="00C11AEF" w:rsidRPr="00C11AEF">
        <w:rPr>
          <w:sz w:val="18"/>
          <w:szCs w:val="18"/>
        </w:rPr>
        <w:t>Grid</w:t>
      </w:r>
      <w:proofErr w:type="spellEnd"/>
      <w:r w:rsidR="00C11AEF" w:rsidRPr="00C11AEF">
        <w:rPr>
          <w:sz w:val="18"/>
          <w:szCs w:val="18"/>
        </w:rPr>
        <w:t xml:space="preserve">, </w:t>
      </w:r>
      <w:proofErr w:type="spellStart"/>
      <w:r w:rsidR="00C11AEF" w:rsidRPr="00C11AEF">
        <w:rPr>
          <w:sz w:val="18"/>
          <w:szCs w:val="18"/>
        </w:rPr>
        <w:t>Wagramerstraße</w:t>
      </w:r>
      <w:proofErr w:type="spellEnd"/>
      <w:r w:rsidR="00C11AEF" w:rsidRPr="00C11AEF">
        <w:rPr>
          <w:sz w:val="18"/>
          <w:szCs w:val="18"/>
        </w:rPr>
        <w:t xml:space="preserve"> 19, 1220 Wien, </w:t>
      </w:r>
      <w:hyperlink r:id="rId1" w:history="1">
        <w:r w:rsidR="00C11AEF">
          <w:rPr>
            <w:rStyle w:val="Hyperlink"/>
            <w:sz w:val="18"/>
            <w:szCs w:val="18"/>
          </w:rPr>
          <w:t>stephan.oesterbauer@apg.at</w:t>
        </w:r>
      </w:hyperlink>
      <w:r w:rsidR="00C11AEF">
        <w:rPr>
          <w:sz w:val="18"/>
          <w:szCs w:val="18"/>
        </w:rPr>
        <w:t>, +43 (0) 50 320 56367</w:t>
      </w:r>
    </w:p>
  </w:footnote>
  <w:footnote w:id="2">
    <w:p w:rsidR="00C11AEF" w:rsidRPr="00C11AEF" w:rsidRDefault="00C11AEF">
      <w:pPr>
        <w:pStyle w:val="Funotentext"/>
        <w:rPr>
          <w:sz w:val="18"/>
          <w:szCs w:val="18"/>
          <w:lang w:val="de-AT"/>
        </w:rPr>
      </w:pPr>
      <w:r w:rsidRPr="00C11AEF">
        <w:rPr>
          <w:rStyle w:val="Funotenzeichen"/>
          <w:sz w:val="18"/>
          <w:szCs w:val="18"/>
        </w:rPr>
        <w:footnoteRef/>
      </w:r>
      <w:r w:rsidRPr="00C11AEF">
        <w:rPr>
          <w:sz w:val="18"/>
          <w:szCs w:val="18"/>
        </w:rPr>
        <w:t xml:space="preserve"> Austrian Power </w:t>
      </w:r>
      <w:proofErr w:type="spellStart"/>
      <w:r w:rsidRPr="00C11AEF">
        <w:rPr>
          <w:sz w:val="18"/>
          <w:szCs w:val="18"/>
        </w:rPr>
        <w:t>Grid</w:t>
      </w:r>
      <w:proofErr w:type="spellEnd"/>
      <w:r w:rsidRPr="00C11AEF">
        <w:rPr>
          <w:sz w:val="18"/>
          <w:szCs w:val="18"/>
        </w:rPr>
        <w:t xml:space="preserve">, </w:t>
      </w:r>
      <w:proofErr w:type="spellStart"/>
      <w:r w:rsidRPr="00C11AEF">
        <w:rPr>
          <w:sz w:val="18"/>
          <w:szCs w:val="18"/>
        </w:rPr>
        <w:t>Wagramerstraße</w:t>
      </w:r>
      <w:proofErr w:type="spellEnd"/>
      <w:r w:rsidRPr="00C11AEF">
        <w:rPr>
          <w:sz w:val="18"/>
          <w:szCs w:val="18"/>
        </w:rPr>
        <w:t xml:space="preserve"> 19, 1220 Wien, </w:t>
      </w:r>
      <w:hyperlink r:id="rId2" w:history="1">
        <w:r w:rsidRPr="00C11AEF">
          <w:rPr>
            <w:rStyle w:val="Hyperlink"/>
            <w:sz w:val="18"/>
            <w:szCs w:val="18"/>
          </w:rPr>
          <w:t>stefan.fuehrer@apg.at</w:t>
        </w:r>
      </w:hyperlink>
      <w:r w:rsidRPr="00C11AEF">
        <w:rPr>
          <w:sz w:val="18"/>
          <w:szCs w:val="18"/>
        </w:rPr>
        <w:t>, +43 (0) 50 320 56361</w:t>
      </w:r>
    </w:p>
  </w:footnote>
  <w:footnote w:id="3">
    <w:p w:rsidR="00C11AEF" w:rsidRPr="00C11AEF" w:rsidRDefault="00C11AEF">
      <w:pPr>
        <w:pStyle w:val="Funotentext"/>
        <w:rPr>
          <w:lang w:val="de-AT"/>
        </w:rPr>
      </w:pPr>
      <w:r w:rsidRPr="00C11AEF">
        <w:rPr>
          <w:rStyle w:val="Funotenzeichen"/>
          <w:sz w:val="18"/>
          <w:szCs w:val="18"/>
        </w:rPr>
        <w:footnoteRef/>
      </w:r>
      <w:r w:rsidRPr="00C11AEF">
        <w:rPr>
          <w:sz w:val="18"/>
          <w:szCs w:val="18"/>
        </w:rPr>
        <w:t xml:space="preserve"> Austrian Power </w:t>
      </w:r>
      <w:proofErr w:type="spellStart"/>
      <w:r w:rsidRPr="00C11AEF">
        <w:rPr>
          <w:sz w:val="18"/>
          <w:szCs w:val="18"/>
        </w:rPr>
        <w:t>Grid</w:t>
      </w:r>
      <w:proofErr w:type="spellEnd"/>
      <w:r w:rsidRPr="00C11AEF">
        <w:rPr>
          <w:sz w:val="18"/>
          <w:szCs w:val="18"/>
        </w:rPr>
        <w:t xml:space="preserve">, </w:t>
      </w:r>
      <w:proofErr w:type="spellStart"/>
      <w:r w:rsidRPr="00C11AEF">
        <w:rPr>
          <w:sz w:val="18"/>
          <w:szCs w:val="18"/>
        </w:rPr>
        <w:t>Wagramerstraße</w:t>
      </w:r>
      <w:proofErr w:type="spellEnd"/>
      <w:r w:rsidRPr="00C11AEF">
        <w:rPr>
          <w:sz w:val="18"/>
          <w:szCs w:val="18"/>
        </w:rPr>
        <w:t xml:space="preserve"> 19, 1220 Wien, </w:t>
      </w:r>
      <w:hyperlink r:id="rId3" w:history="1">
        <w:r w:rsidRPr="00C11AEF">
          <w:rPr>
            <w:rStyle w:val="Hyperlink"/>
            <w:sz w:val="18"/>
            <w:szCs w:val="18"/>
          </w:rPr>
          <w:t>herbert.popelka@apg.at</w:t>
        </w:r>
      </w:hyperlink>
      <w:r w:rsidRPr="00C11AEF">
        <w:rPr>
          <w:sz w:val="18"/>
          <w:szCs w:val="18"/>
        </w:rPr>
        <w:t>, +43 (0) 50 320 56303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4F"/>
    <w:rsid w:val="00010E92"/>
    <w:rsid w:val="000705B7"/>
    <w:rsid w:val="00082E53"/>
    <w:rsid w:val="000A052A"/>
    <w:rsid w:val="000B6F92"/>
    <w:rsid w:val="000F486A"/>
    <w:rsid w:val="001456FC"/>
    <w:rsid w:val="00180496"/>
    <w:rsid w:val="001918D4"/>
    <w:rsid w:val="001C1638"/>
    <w:rsid w:val="001F4232"/>
    <w:rsid w:val="001F65E7"/>
    <w:rsid w:val="002014D3"/>
    <w:rsid w:val="00227125"/>
    <w:rsid w:val="00234B1E"/>
    <w:rsid w:val="00262FD5"/>
    <w:rsid w:val="00284965"/>
    <w:rsid w:val="002946B8"/>
    <w:rsid w:val="00295E87"/>
    <w:rsid w:val="002F5DC0"/>
    <w:rsid w:val="003121A7"/>
    <w:rsid w:val="00350F98"/>
    <w:rsid w:val="00364033"/>
    <w:rsid w:val="0037132D"/>
    <w:rsid w:val="003A772A"/>
    <w:rsid w:val="003B676F"/>
    <w:rsid w:val="003C28FE"/>
    <w:rsid w:val="00401434"/>
    <w:rsid w:val="004506F0"/>
    <w:rsid w:val="004511D3"/>
    <w:rsid w:val="004646E2"/>
    <w:rsid w:val="0046646D"/>
    <w:rsid w:val="00483B87"/>
    <w:rsid w:val="004A1C6D"/>
    <w:rsid w:val="004B7F61"/>
    <w:rsid w:val="004C1A62"/>
    <w:rsid w:val="00536B11"/>
    <w:rsid w:val="00555AB6"/>
    <w:rsid w:val="00571D28"/>
    <w:rsid w:val="00595264"/>
    <w:rsid w:val="005B1ADB"/>
    <w:rsid w:val="005C2F6B"/>
    <w:rsid w:val="005C637F"/>
    <w:rsid w:val="005E4D4F"/>
    <w:rsid w:val="00603E8E"/>
    <w:rsid w:val="00621F2F"/>
    <w:rsid w:val="006533E3"/>
    <w:rsid w:val="00672963"/>
    <w:rsid w:val="00675120"/>
    <w:rsid w:val="00680753"/>
    <w:rsid w:val="006935A4"/>
    <w:rsid w:val="006C2438"/>
    <w:rsid w:val="00726AE2"/>
    <w:rsid w:val="007278BC"/>
    <w:rsid w:val="007378C8"/>
    <w:rsid w:val="00741EC0"/>
    <w:rsid w:val="00774914"/>
    <w:rsid w:val="00803917"/>
    <w:rsid w:val="008049A3"/>
    <w:rsid w:val="0081311F"/>
    <w:rsid w:val="008255EB"/>
    <w:rsid w:val="008517BA"/>
    <w:rsid w:val="008D58A8"/>
    <w:rsid w:val="008F5B62"/>
    <w:rsid w:val="009346A5"/>
    <w:rsid w:val="00947146"/>
    <w:rsid w:val="009510CA"/>
    <w:rsid w:val="00970BB8"/>
    <w:rsid w:val="009733C2"/>
    <w:rsid w:val="009802D1"/>
    <w:rsid w:val="009949D0"/>
    <w:rsid w:val="009D50C9"/>
    <w:rsid w:val="009D6E33"/>
    <w:rsid w:val="009F44F5"/>
    <w:rsid w:val="009F64D0"/>
    <w:rsid w:val="00A00F44"/>
    <w:rsid w:val="00A07737"/>
    <w:rsid w:val="00A156E4"/>
    <w:rsid w:val="00A52235"/>
    <w:rsid w:val="00A6148D"/>
    <w:rsid w:val="00A61BC2"/>
    <w:rsid w:val="00A828AD"/>
    <w:rsid w:val="00AC03B1"/>
    <w:rsid w:val="00B001B7"/>
    <w:rsid w:val="00B17884"/>
    <w:rsid w:val="00B41240"/>
    <w:rsid w:val="00B42A34"/>
    <w:rsid w:val="00B53E15"/>
    <w:rsid w:val="00B545E2"/>
    <w:rsid w:val="00B57315"/>
    <w:rsid w:val="00B71216"/>
    <w:rsid w:val="00BD6C32"/>
    <w:rsid w:val="00BF05FA"/>
    <w:rsid w:val="00C11AEF"/>
    <w:rsid w:val="00C12C2C"/>
    <w:rsid w:val="00C16957"/>
    <w:rsid w:val="00C36A36"/>
    <w:rsid w:val="00C630A5"/>
    <w:rsid w:val="00C669F9"/>
    <w:rsid w:val="00CC1C4B"/>
    <w:rsid w:val="00CE1A70"/>
    <w:rsid w:val="00D107FF"/>
    <w:rsid w:val="00D27600"/>
    <w:rsid w:val="00D53E86"/>
    <w:rsid w:val="00D54EB7"/>
    <w:rsid w:val="00D736F8"/>
    <w:rsid w:val="00DB2125"/>
    <w:rsid w:val="00DB6D7F"/>
    <w:rsid w:val="00DC4C99"/>
    <w:rsid w:val="00DC58D1"/>
    <w:rsid w:val="00E47225"/>
    <w:rsid w:val="00E520E6"/>
    <w:rsid w:val="00E7092D"/>
    <w:rsid w:val="00E93DE5"/>
    <w:rsid w:val="00EC17AA"/>
    <w:rsid w:val="00ED79DA"/>
    <w:rsid w:val="00F10ED2"/>
    <w:rsid w:val="00F30442"/>
    <w:rsid w:val="00F602A4"/>
    <w:rsid w:val="00F8750F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600B2-AFD5-4EBB-AA21-CABCA402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5E87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paragraph" w:styleId="Funotentext">
    <w:name w:val="footnote text"/>
    <w:basedOn w:val="Standard"/>
    <w:link w:val="FunotentextZchn"/>
    <w:unhideWhenUsed/>
    <w:rsid w:val="00C11AEF"/>
    <w:rPr>
      <w:szCs w:val="20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character" w:customStyle="1" w:styleId="FunotentextZchn">
    <w:name w:val="Fußnotentext Zchn"/>
    <w:link w:val="Funotentext"/>
    <w:rsid w:val="00C11AEF"/>
    <w:rPr>
      <w:rFonts w:ascii="Arial" w:hAnsi="Arial"/>
      <w:lang w:val="de-DE" w:eastAsia="ko-KR"/>
    </w:rPr>
  </w:style>
  <w:style w:type="character" w:styleId="Hyperlink">
    <w:name w:val="Hyperlink"/>
    <w:rsid w:val="00C11AEF"/>
    <w:rPr>
      <w:color w:val="0000FF"/>
      <w:u w:val="singl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5E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teraturverzeichnis">
    <w:name w:val="Bibliography"/>
    <w:basedOn w:val="Standard"/>
    <w:next w:val="Standard"/>
    <w:uiPriority w:val="37"/>
    <w:unhideWhenUsed/>
    <w:rsid w:val="00295E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F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F44"/>
    <w:rPr>
      <w:rFonts w:ascii="Segoe UI" w:hAnsi="Segoe UI" w:cs="Segoe UI"/>
      <w:sz w:val="18"/>
      <w:szCs w:val="18"/>
      <w:lang w:val="de-D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oesterbs\Downloads\herbert.popelka@apg.at" TargetMode="External"/><Relationship Id="rId2" Type="http://schemas.openxmlformats.org/officeDocument/2006/relationships/hyperlink" Target="mailto:stefan.fuehrer@apg.at" TargetMode="External"/><Relationship Id="rId1" Type="http://schemas.openxmlformats.org/officeDocument/2006/relationships/hyperlink" Target="mailto:stephan.oesterbauer@apg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Bun18</b:Tag>
    <b:SourceType>DocumentFromInternetSite</b:SourceType>
    <b:Guid>{CEF96CA6-1CAF-4966-8B6C-DB7B40D770E3}</b:Guid>
    <b:Author>
      <b:Author>
        <b:Corporate>Bundesministerium Nachhaltigkeit und Tourismus &amp; Bundesministerium Verkehr, Innovation und Technologie</b:Corporate>
      </b:Author>
    </b:Author>
    <b:Title>#mission2030 Die österreichische Klima- und Energiestrategie</b:Title>
    <b:Year>2018</b:Year>
    <b:Month>Juni</b:Month>
    <b:YearAccessed>2018</b:YearAccessed>
    <b:MonthAccessed>10</b:MonthAccessed>
    <b:DayAccessed>24</b:DayAccessed>
    <b:URL>https://mission2030.info/wp-content/uploads/2018/10/Klima-Energiestrategie.pdf</b:URL>
    <b:RefOrder>1</b:RefOrder>
  </b:Source>
  <b:Source>
    <b:Tag>JRe11</b:Tag>
    <b:SourceType>DocumentFromInternetSite</b:SourceType>
    <b:Guid>{EB29DD26-D695-49CA-966A-45387ECECAB4}</b:Guid>
    <b:Author>
      <b:Author>
        <b:NameList>
          <b:Person>
            <b:Last>Schmidthaler</b:Last>
            <b:First>J.</b:First>
            <b:Middle>Reichl und M.</b:Middle>
          </b:Person>
        </b:NameList>
      </b:Author>
    </b:Author>
    <b:Title>Blackouts in Österreich (BlackÖ.1)</b:Title>
    <b:Year>2011</b:Year>
    <b:Month>08</b:Month>
    <b:YearAccessed>2018</b:YearAccessed>
    <b:MonthAccessed>10</b:MonthAccessed>
    <b:URL>http://www.blackout-simulator.com/</b:URL>
    <b:RefOrder>3</b:RefOrder>
  </b:Source>
  <b:Source>
    <b:Tag>KSt15</b:Tag>
    <b:SourceType>DocumentFromInternetSite</b:SourceType>
    <b:Guid>{57565BD7-5F0B-45A9-8248-0CDEDA03859A}</b:Guid>
    <b:Author>
      <b:Author>
        <b:NameList>
          <b:Person>
            <b:Last>Steininger</b:Last>
            <b:First>K</b:First>
          </b:Person>
          <b:Person>
            <b:Last>König</b:Last>
            <b:First>M</b:First>
          </b:Person>
          <b:Person>
            <b:Last>Kranzl</b:Last>
            <b:First>L</b:First>
          </b:Person>
          <b:Person>
            <b:Last>Bednar-Friedl</b:Last>
            <b:First>B</b:First>
          </b:Person>
          <b:Person>
            <b:Last>Loibl</b:Last>
            <b:First>W</b:First>
          </b:Person>
          <b:Person>
            <b:Last>Prettenthaler</b:Last>
            <b:First>F</b:First>
          </b:Person>
        </b:NameList>
      </b:Author>
    </b:Author>
    <b:Title>Projektüberblick COIN - Cost of Inaction-Assessing Costs of Climate Change for Austria</b:Title>
    <b:Year>2015</b:Year>
    <b:YearAccessed>2016</b:YearAccessed>
    <b:MonthAccessed>4</b:MonthAccessed>
    <b:DayAccessed>4</b:DayAccessed>
    <b:URL>http://coin.ccca.at/</b:URL>
    <b:RefOrder>4</b:RefOrder>
  </b:Source>
  <b:Source>
    <b:Tag>APG18</b:Tag>
    <b:SourceType>DocumentFromInternetSite</b:SourceType>
    <b:Guid>{9B7243F7-FA33-43E1-8107-ED14624E4F7D}</b:Guid>
    <b:Author>
      <b:Author>
        <b:Corporate>APG - Austrian Power Grid</b:Corporate>
      </b:Author>
    </b:Author>
    <b:Title>Koordinierte Europäische Planung der Übertragungsnetze im Rahmen des TYNDP 2018</b:Title>
    <b:Year>2018</b:Year>
    <b:Month>02</b:Month>
    <b:Day>15</b:Day>
    <b:YearAccessed>2018</b:YearAccessed>
    <b:MonthAccessed>10</b:MonthAccessed>
    <b:URL>https://www.tugraz.at/fileadmin/user_upload/Events/Eninnov2018/files/pr/Session_D3/PR_Oesterbauer.pdf</b:URL>
    <b:RefOrder>2</b:RefOrder>
  </b:Source>
  <b:Source>
    <b:Tag>ENT18</b:Tag>
    <b:SourceType>DocumentFromInternetSite</b:SourceType>
    <b:Guid>{E358C5F6-7156-421D-862E-C0D45190DB7D}</b:Guid>
    <b:Author>
      <b:Author>
        <b:Corporate>ENTOS-E</b:Corporate>
      </b:Author>
    </b:Author>
    <b:Title>TYNDP 2018</b:Title>
    <b:Year>2018</b:Year>
    <b:Month>09</b:Month>
    <b:YearAccessed>2018</b:YearAccessed>
    <b:MonthAccessed>10</b:MonthAccessed>
    <b:URL>https://tyndp.entsoe.eu/tyndp2018/</b:URL>
    <b:RefOrder>5</b:RefOrder>
  </b:Source>
</b:Sources>
</file>

<file path=customXml/itemProps1.xml><?xml version="1.0" encoding="utf-8"?>
<ds:datastoreItem xmlns:ds="http://schemas.openxmlformats.org/officeDocument/2006/customXml" ds:itemID="{A82AD794-A834-45E0-9FE7-E5F1E099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7198</CharactersWithSpaces>
  <SharedDoc>false</SharedDoc>
  <HLinks>
    <vt:vector size="18" baseType="variant">
      <vt:variant>
        <vt:i4>1572990</vt:i4>
      </vt:variant>
      <vt:variant>
        <vt:i4>6</vt:i4>
      </vt:variant>
      <vt:variant>
        <vt:i4>0</vt:i4>
      </vt:variant>
      <vt:variant>
        <vt:i4>5</vt:i4>
      </vt:variant>
      <vt:variant>
        <vt:lpwstr>C:\Users\oesterbs\Downloads\herbert.popelka@apg.at</vt:lpwstr>
      </vt:variant>
      <vt:variant>
        <vt:lpwstr/>
      </vt:variant>
      <vt:variant>
        <vt:i4>2687058</vt:i4>
      </vt:variant>
      <vt:variant>
        <vt:i4>3</vt:i4>
      </vt:variant>
      <vt:variant>
        <vt:i4>0</vt:i4>
      </vt:variant>
      <vt:variant>
        <vt:i4>5</vt:i4>
      </vt:variant>
      <vt:variant>
        <vt:lpwstr>mailto:stefan.fuehrer@apg.at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mailto:stephan.oesterbauer@apg.at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Österbauer Stephan</cp:lastModifiedBy>
  <cp:revision>15</cp:revision>
  <dcterms:created xsi:type="dcterms:W3CDTF">2018-11-05T18:14:00Z</dcterms:created>
  <dcterms:modified xsi:type="dcterms:W3CDTF">2018-11-07T16:29:00Z</dcterms:modified>
</cp:coreProperties>
</file>