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9674BC" w:rsidP="005E4D4F">
      <w:pPr>
        <w:pStyle w:val="Abstract-Titel"/>
      </w:pPr>
      <w:bookmarkStart w:id="0" w:name="_GoBack"/>
      <w:bookmarkEnd w:id="0"/>
      <w:r>
        <w:t>Szenarienbasierte Betriebsoptimierung</w:t>
      </w:r>
      <w:r w:rsidR="00434B90">
        <w:t xml:space="preserve"> </w:t>
      </w:r>
      <w:r>
        <w:t>eines Produktionsverbundes aus Stahl- und Chemieproduktion mit Einbindung Erneuerbarer Energien</w:t>
      </w:r>
    </w:p>
    <w:p w:rsidR="00BF05FA" w:rsidRDefault="00165138" w:rsidP="00A156E4">
      <w:pPr>
        <w:pStyle w:val="AutorenOrganisation"/>
      </w:pPr>
      <w:r>
        <w:t>Industrie</w:t>
      </w:r>
    </w:p>
    <w:p w:rsidR="00434B90" w:rsidRPr="005E4D4F" w:rsidRDefault="00434B90" w:rsidP="00434B90">
      <w:pPr>
        <w:pStyle w:val="AutorenOrganisation"/>
      </w:pPr>
      <w:r>
        <w:t>Mathias</w:t>
      </w:r>
      <w:r w:rsidR="005E4D4F" w:rsidRPr="005E4D4F">
        <w:t xml:space="preserve"> </w:t>
      </w:r>
      <w:r>
        <w:t>van Beek</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Björn Hunstock</w:t>
      </w:r>
      <w:r w:rsidR="00A156E4" w:rsidRPr="00A156E4">
        <w:rPr>
          <w:vertAlign w:val="superscript"/>
        </w:rPr>
        <w:t>(</w:t>
      </w:r>
      <w:r>
        <w:rPr>
          <w:vertAlign w:val="superscript"/>
        </w:rPr>
        <w:t>1</w:t>
      </w:r>
      <w:r w:rsidR="00A156E4">
        <w:rPr>
          <w:vertAlign w:val="superscript"/>
        </w:rPr>
        <w:t>)</w:t>
      </w:r>
      <w:r w:rsidRPr="005E4D4F">
        <w:t xml:space="preserve">, </w:t>
      </w:r>
      <w:r w:rsidR="009674BC">
        <w:t>Matthias Sadlowski</w:t>
      </w:r>
      <w:r w:rsidRPr="00A156E4">
        <w:rPr>
          <w:vertAlign w:val="superscript"/>
        </w:rPr>
        <w:t>(</w:t>
      </w:r>
      <w:r>
        <w:rPr>
          <w:vertAlign w:val="superscript"/>
        </w:rPr>
        <w:t>1)</w:t>
      </w:r>
    </w:p>
    <w:p w:rsidR="00A07737" w:rsidRPr="005E4D4F" w:rsidRDefault="00A156E4" w:rsidP="00A43988">
      <w:pPr>
        <w:pStyle w:val="AutorenOrganisation"/>
      </w:pPr>
      <w:r>
        <w:rPr>
          <w:vertAlign w:val="superscript"/>
        </w:rPr>
        <w:t>(</w:t>
      </w:r>
      <w:r w:rsidR="00010E92" w:rsidRPr="00010E92">
        <w:rPr>
          <w:vertAlign w:val="superscript"/>
        </w:rPr>
        <w:t>1</w:t>
      </w:r>
      <w:r>
        <w:rPr>
          <w:vertAlign w:val="superscript"/>
        </w:rPr>
        <w:t>)</w:t>
      </w:r>
      <w:r w:rsidR="00A43988">
        <w:t>Fraunhofer UMSICHT</w:t>
      </w:r>
    </w:p>
    <w:p w:rsidR="005E4D4F" w:rsidRPr="005E4D4F" w:rsidRDefault="005E4D4F" w:rsidP="005E4D4F">
      <w:pPr>
        <w:pStyle w:val="Ueberschrift"/>
      </w:pPr>
      <w:r w:rsidRPr="005E4D4F">
        <w:t>Motivation und zentrale Fragestellung</w:t>
      </w:r>
    </w:p>
    <w:p w:rsidR="00F6399D" w:rsidRDefault="004A7923" w:rsidP="00466CFB">
      <w:r>
        <w:t>Die im Pariser Klimaabkommen von 2015 beschlossene Dekarbonisierung</w:t>
      </w:r>
      <w:r w:rsidR="008F13E0">
        <w:t xml:space="preserve"> der Weltwirtschaft [1]</w:t>
      </w:r>
      <w:r>
        <w:t xml:space="preserve"> erfordert neben einer veränderten Energiebereitstellung auch ein Umdenken in etablierten Industrieprozessen. </w:t>
      </w:r>
      <w:r w:rsidR="00F22AEA">
        <w:t>In Deutschland ist der Stahlsektor</w:t>
      </w:r>
      <w:r>
        <w:t xml:space="preserve"> aufgrund der </w:t>
      </w:r>
      <w:r w:rsidR="002714D1">
        <w:t xml:space="preserve">vergleichsweise </w:t>
      </w:r>
      <w:r>
        <w:t>hohen CO</w:t>
      </w:r>
      <w:r>
        <w:rPr>
          <w:vertAlign w:val="subscript"/>
        </w:rPr>
        <w:t>2</w:t>
      </w:r>
      <w:r>
        <w:t xml:space="preserve">-Emissionen </w:t>
      </w:r>
      <w:r w:rsidR="00F22AEA">
        <w:t>besonders betroffen</w:t>
      </w:r>
      <w:r>
        <w:t xml:space="preserve">. Im Rahmen des Forschungsprojektes „Carbon2Chem“ </w:t>
      </w:r>
      <w:r w:rsidR="00141C87">
        <w:t xml:space="preserve">wird die </w:t>
      </w:r>
      <w:r w:rsidR="00F6399D">
        <w:t>Produktionsk</w:t>
      </w:r>
      <w:r w:rsidR="00141C87">
        <w:t>opplung von Stahl- und Chemieindustrie</w:t>
      </w:r>
      <w:r w:rsidR="00F967DC">
        <w:t xml:space="preserve"> untersucht. Das Ziel des Projektes ist die</w:t>
      </w:r>
      <w:r w:rsidR="00AB3413">
        <w:t xml:space="preserve"> Reduktion der</w:t>
      </w:r>
      <w:r w:rsidR="00F967DC">
        <w:t xml:space="preserve"> lokalen</w:t>
      </w:r>
      <w:r w:rsidR="00AB3413">
        <w:t xml:space="preserve"> CO</w:t>
      </w:r>
      <w:r w:rsidR="00AB3413">
        <w:rPr>
          <w:vertAlign w:val="subscript"/>
        </w:rPr>
        <w:t>2</w:t>
      </w:r>
      <w:r w:rsidR="003D3943">
        <w:t>-Emissionen durch Verwertung der Hüttengase in der chemischen Produktion</w:t>
      </w:r>
      <w:r w:rsidR="00F967DC">
        <w:t>. Durch eine Wasserstoffelektrolyse soll eine zusätzliche Wasserstoffbereitstellung basierend auf erneuerbaren Energien realisiert werden</w:t>
      </w:r>
      <w:r w:rsidR="00AB3413">
        <w:t>.</w:t>
      </w:r>
      <w:r>
        <w:t xml:space="preserve"> </w:t>
      </w:r>
      <w:r w:rsidR="00F6399D">
        <w:t>Eine zentrale Fragestellung der Entwicklung dieser Kopplung ist, wie denkbare Anlagenkonzepte durch eine Vorauswahl anhand ökonomischer und ökologischer Kriterien reduziert werden und Kenntnisse über den dynamischen Betrieb des neuen Anlagenverbundes gewonnen werden können</w:t>
      </w:r>
      <w:r w:rsidR="004551C5" w:rsidRPr="00887458">
        <w:t xml:space="preserve"> </w:t>
      </w:r>
      <w:r w:rsidR="00B07B75" w:rsidRPr="00887458">
        <w:t>[2]</w:t>
      </w:r>
      <w:r w:rsidR="00F6399D">
        <w:t>.</w:t>
      </w:r>
    </w:p>
    <w:p w:rsidR="005E4D4F" w:rsidRPr="005E4D4F" w:rsidRDefault="00165138" w:rsidP="00466CFB">
      <w:pPr>
        <w:pStyle w:val="Ueberschrift"/>
      </w:pPr>
      <w:r>
        <w:t>Methode</w:t>
      </w:r>
    </w:p>
    <w:p w:rsidR="00395423" w:rsidRDefault="00DE5990" w:rsidP="00466CFB">
      <w:r>
        <w:t xml:space="preserve">Im Rahmen der vorliegenden Fragestellung bietet </w:t>
      </w:r>
      <w:r w:rsidR="00B07B75">
        <w:t>mathematische Optimierung</w:t>
      </w:r>
      <w:r>
        <w:t xml:space="preserve"> den Vorteil, dass sowohl eine Wirtschaftlichkeits- und Nachhaltigkeitsorientierung der betrachteten Konzepte über die Zielfunktion abgebildet werden kann als auch ein bezüglich dieser Zielfunktion optimaler Betriebsplan des Gesamtsystems ein Ergebnis der Optimierung darstellt.</w:t>
      </w:r>
      <w:r w:rsidR="00B07B75">
        <w:t xml:space="preserve"> Sowohl für </w:t>
      </w:r>
      <w:r w:rsidR="00B07B75" w:rsidRPr="00887458">
        <w:t>die Stahl- [3] als auch die Chemieproduktion [4]</w:t>
      </w:r>
      <w:r w:rsidRPr="00887458">
        <w:t xml:space="preserve"> </w:t>
      </w:r>
      <w:r w:rsidR="00B07B75">
        <w:t xml:space="preserve">ist Mixed-Integer Linear Programming (MILP) bereits für ähnliche Untersuchungen etabliert, deshalb wird das Modell als MILP </w:t>
      </w:r>
      <w:r w:rsidR="002F3BC3">
        <w:t>ausgeführt.</w:t>
      </w:r>
      <w:r w:rsidR="00B07B75">
        <w:t xml:space="preserve"> </w:t>
      </w:r>
      <w:r>
        <w:t>D</w:t>
      </w:r>
      <w:r w:rsidR="00466CFB">
        <w:t xml:space="preserve">ie Stahlproduktion </w:t>
      </w:r>
      <w:r>
        <w:t xml:space="preserve">dient in den betrachteten Konzepten als </w:t>
      </w:r>
      <w:r w:rsidR="00466CFB">
        <w:t>Schnittstelle, die Hüttengase bereitstellt und sowohl Dampf als auch Strom benötigt.</w:t>
      </w:r>
      <w:r w:rsidR="00012ADF">
        <w:t xml:space="preserve"> </w:t>
      </w:r>
      <w:r>
        <w:t>Der Kraftwerksbetrieb der integrierten Stahlproduktion ist aufgrund seines hohen Einflusses auf die lokale Gasverfügbarkeit</w:t>
      </w:r>
      <w:r w:rsidR="00FA6FF2">
        <w:t xml:space="preserve"> [5]</w:t>
      </w:r>
      <w:r>
        <w:t xml:space="preserve"> ein Teil der Optimierung. </w:t>
      </w:r>
      <w:r w:rsidR="00012ADF">
        <w:t>Abbildung 1 stellt eine denkbare Anlagenverschaltung dar</w:t>
      </w:r>
      <w:r>
        <w:t>, bei der die Hüttengase zu Methanol weiterverarbeitet werden</w:t>
      </w:r>
      <w:r w:rsidR="00012ADF">
        <w:t>:</w:t>
      </w:r>
      <w:r w:rsidR="00661215">
        <w:br/>
      </w:r>
    </w:p>
    <w:p w:rsidR="002213C6" w:rsidRDefault="00DE3885" w:rsidP="002213C6">
      <w:pPr>
        <w:keepNext/>
        <w:jc w:val="center"/>
      </w:pPr>
      <w:r w:rsidRPr="00F967DC">
        <w:rPr>
          <w:noProof/>
          <w:lang w:eastAsia="de-DE"/>
        </w:rPr>
        <w:drawing>
          <wp:inline distT="0" distB="0" distL="0" distR="0">
            <wp:extent cx="5094605" cy="3253740"/>
            <wp:effectExtent l="0" t="0" r="0" b="0"/>
            <wp:docPr id="1" name="Bild 1" descr="Topologie_Arial_mit_Leg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logie_Arial_mit_Legen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4605" cy="3253740"/>
                    </a:xfrm>
                    <a:prstGeom prst="rect">
                      <a:avLst/>
                    </a:prstGeom>
                    <a:noFill/>
                    <a:ln>
                      <a:noFill/>
                    </a:ln>
                  </pic:spPr>
                </pic:pic>
              </a:graphicData>
            </a:graphic>
          </wp:inline>
        </w:drawing>
      </w:r>
    </w:p>
    <w:p w:rsidR="00DE5990" w:rsidRDefault="002213C6" w:rsidP="00DE5990">
      <w:pPr>
        <w:pStyle w:val="Abbildungsbeschriftung"/>
      </w:pPr>
      <w:r>
        <w:t xml:space="preserve">Abbildung </w:t>
      </w:r>
      <w:fldSimple w:instr=" SEQ Abbildung \* ARABIC ">
        <w:r w:rsidR="00F967DC">
          <w:rPr>
            <w:noProof/>
          </w:rPr>
          <w:t>1</w:t>
        </w:r>
      </w:fldSimple>
      <w:r>
        <w:t xml:space="preserve">: </w:t>
      </w:r>
      <w:r w:rsidR="00F6399D">
        <w:t>Beispielhaftes Anlagenkonzept</w:t>
      </w:r>
      <w:r>
        <w:t xml:space="preserve"> der </w:t>
      </w:r>
      <w:r w:rsidR="00F6399D">
        <w:t>K</w:t>
      </w:r>
      <w:r>
        <w:t xml:space="preserve">opplung </w:t>
      </w:r>
      <w:r w:rsidR="00F6399D">
        <w:t xml:space="preserve">von </w:t>
      </w:r>
      <w:r>
        <w:t>Stahl-</w:t>
      </w:r>
      <w:r w:rsidR="00F6399D">
        <w:t xml:space="preserve"> und </w:t>
      </w:r>
      <w:r>
        <w:t>Chemie</w:t>
      </w:r>
      <w:r w:rsidR="00F6399D">
        <w:t>produktion</w:t>
      </w:r>
      <w:bookmarkStart w:id="1" w:name="_Toc26086066"/>
      <w:bookmarkStart w:id="2" w:name="_Toc68418491"/>
    </w:p>
    <w:p w:rsidR="004551C5" w:rsidRPr="00395423" w:rsidRDefault="004551C5" w:rsidP="004551C5">
      <w:pPr>
        <w:pStyle w:val="Ueberschrift"/>
      </w:pPr>
      <w:r>
        <w:lastRenderedPageBreak/>
        <w:t>Ergebnisse und Schlussfolgerungen</w:t>
      </w:r>
    </w:p>
    <w:p w:rsidR="004551C5" w:rsidRDefault="00DE3885" w:rsidP="004551C5">
      <w:r>
        <w:rPr>
          <w:noProof/>
          <w:lang w:eastAsia="de-DE"/>
        </w:rPr>
        <w:drawing>
          <wp:anchor distT="0" distB="0" distL="114300" distR="114300" simplePos="0" relativeHeight="251657728" behindDoc="1" locked="0" layoutInCell="1" allowOverlap="1">
            <wp:simplePos x="0" y="0"/>
            <wp:positionH relativeFrom="column">
              <wp:posOffset>-527685</wp:posOffset>
            </wp:positionH>
            <wp:positionV relativeFrom="paragraph">
              <wp:posOffset>502920</wp:posOffset>
            </wp:positionV>
            <wp:extent cx="6821170" cy="3782060"/>
            <wp:effectExtent l="0" t="0" r="0" b="0"/>
            <wp:wrapNone/>
            <wp:docPr id="4" name="Bild 4" descr="IEWT_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WT_Pl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1170" cy="378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B85">
        <w:t xml:space="preserve">Die Optimierungsrechnungen werden für verschiedene externe Marktszenarien und Produktionskapazitäten der dargestellten Anlagenverschaltung durchgeführt. </w:t>
      </w:r>
      <w:r w:rsidR="00887458">
        <w:t>Neben dem Zielfunktionswert liefert jede Rechnung</w:t>
      </w:r>
      <w:r w:rsidR="00D50B85">
        <w:t xml:space="preserve"> ein</w:t>
      </w:r>
      <w:r w:rsidR="00887458">
        <w:t>en</w:t>
      </w:r>
      <w:r w:rsidR="00D50B85">
        <w:t xml:space="preserve"> Betriebsplan, wie </w:t>
      </w:r>
      <w:r w:rsidR="00887458">
        <w:t>er auszugsweise</w:t>
      </w:r>
      <w:r w:rsidR="00D50B85">
        <w:t xml:space="preserve"> auf Abbildung 2 dargestellt</w:t>
      </w:r>
      <w:r w:rsidR="00887458">
        <w:t xml:space="preserve"> ist</w:t>
      </w:r>
      <w:r w:rsidR="00D50B85">
        <w:t>:</w:t>
      </w:r>
    </w:p>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4551C5"/>
    <w:p w:rsidR="00DA0F31" w:rsidRDefault="00DA0F31" w:rsidP="00D50B85">
      <w:pPr>
        <w:pStyle w:val="Abbildungsbeschriftung"/>
      </w:pPr>
    </w:p>
    <w:p w:rsidR="00583DC8" w:rsidRDefault="00D50B85" w:rsidP="00D50B85">
      <w:pPr>
        <w:pStyle w:val="Abbildungsbeschriftung"/>
      </w:pPr>
      <w:r>
        <w:t xml:space="preserve">Abbildung </w:t>
      </w:r>
      <w:fldSimple w:instr=" SEQ Abbildung \* ARABIC ">
        <w:r w:rsidR="00F967DC">
          <w:rPr>
            <w:noProof/>
          </w:rPr>
          <w:t>2</w:t>
        </w:r>
      </w:fldSimple>
      <w:r>
        <w:t>: Ausschnitt normierter Systembetriebsgrößen als Ergebnis der Optimierungsrechnung</w:t>
      </w:r>
    </w:p>
    <w:p w:rsidR="00D50B85" w:rsidRDefault="00D50B85" w:rsidP="00D50B85"/>
    <w:p w:rsidR="0098710F" w:rsidRPr="004551C5" w:rsidRDefault="00D50B85" w:rsidP="00D50B85">
      <w:r>
        <w:t xml:space="preserve">Die Abbildung zeigt zunächst den als Marktszenario eingegebenen Strompreis für den deutschen 1h-Intraday Spotmarkt für einen Betriebszeitraum von drei Tagen. Da in diesem Szenario die Auslegung der Elektrolyseeinheit zu klein für die installierte Methanolproduktion ausfällt, kann die Anlage nur bedingt </w:t>
      </w:r>
      <w:r w:rsidR="0098710F">
        <w:t xml:space="preserve">dynamisch Wasserstoff produzieren und dementsprechend nur geringe Speichervolumina ausnutzen. Die Stromproduktion des dargestellten Kraftwerksblocks schwankt entsprechend der Gasverfügbarkeit und der </w:t>
      </w:r>
      <w:r w:rsidR="003E0755">
        <w:t>Zwischendampfabzapfung</w:t>
      </w:r>
      <w:r w:rsidR="00AF5E7F">
        <w:t xml:space="preserve"> zur Deckung</w:t>
      </w:r>
      <w:r w:rsidR="003E0755">
        <w:t xml:space="preserve"> </w:t>
      </w:r>
      <w:r w:rsidR="00AF5E7F">
        <w:t>des</w:t>
      </w:r>
      <w:r w:rsidR="003E0755">
        <w:t xml:space="preserve"> </w:t>
      </w:r>
      <w:r w:rsidR="0098710F">
        <w:t>Dampfbedarf</w:t>
      </w:r>
      <w:r w:rsidR="00AF5E7F">
        <w:t>s</w:t>
      </w:r>
      <w:r w:rsidR="0098710F">
        <w:t xml:space="preserve"> der Stahlproduktion. In einem Anlagenverbund, der eine größere Elektrolyseanlage enthält, zeigen sich die dynamischen Potenziale der Wasserstoffprodu</w:t>
      </w:r>
      <w:r w:rsidR="00203E69">
        <w:t xml:space="preserve">ktion und der Methanolsynthese, jedoch </w:t>
      </w:r>
      <w:r w:rsidR="003E0755">
        <w:t>kann</w:t>
      </w:r>
      <w:r w:rsidR="00203E69">
        <w:t xml:space="preserve"> dann die Gasreinigung die maximal mögliche Dynamik in der Synthese</w:t>
      </w:r>
      <w:r w:rsidR="003E0755">
        <w:t xml:space="preserve"> limitieren</w:t>
      </w:r>
      <w:r w:rsidR="0098710F">
        <w:t xml:space="preserve">. Anhand dieses Beispiels wird deutlich, dass die beschränkenden Anlagenkomponenten an verschiedenen Stellen im System liegen können und deshalb eine umfassende Untersuchung der </w:t>
      </w:r>
      <w:r w:rsidR="005359E8">
        <w:t>installierten Anlagengrößen</w:t>
      </w:r>
      <w:r w:rsidR="0098710F">
        <w:t xml:space="preserve"> notwendig ist.</w:t>
      </w:r>
      <w:r w:rsidR="00203E69">
        <w:t xml:space="preserve"> Außerdem ist eine Untersuchung weiterer Prod</w:t>
      </w:r>
      <w:r w:rsidR="005359E8">
        <w:t>uktionsrouten notwendig, wodurch die Wechselwirkung von Flexibilität und Wirtschaftlichkeit der Chemieproduktion sowie mögliche Koproduktionskonzepte für chemische Produkte bewertet werden können.</w:t>
      </w:r>
    </w:p>
    <w:p w:rsidR="005E4D4F" w:rsidRPr="00B07B75" w:rsidRDefault="005E4D4F" w:rsidP="00A156E4">
      <w:pPr>
        <w:pStyle w:val="Ueberschrift"/>
      </w:pPr>
      <w:r w:rsidRPr="00B07B75">
        <w:t>Literatur</w:t>
      </w:r>
      <w:bookmarkEnd w:id="1"/>
      <w:bookmarkEnd w:id="2"/>
    </w:p>
    <w:p w:rsidR="004C4E83" w:rsidRPr="00D50B85" w:rsidRDefault="008F13E0" w:rsidP="008F13E0">
      <w:pPr>
        <w:pStyle w:val="Literatur"/>
        <w:rPr>
          <w:noProof/>
        </w:rPr>
      </w:pPr>
      <w:r w:rsidRPr="00D50B85">
        <w:t>[1]</w:t>
      </w:r>
      <w:r w:rsidR="004C4E83" w:rsidRPr="00D50B85">
        <w:tab/>
      </w:r>
      <w:r w:rsidR="004C4E83" w:rsidRPr="00D50B85">
        <w:rPr>
          <w:noProof/>
        </w:rPr>
        <w:t>United Nations:</w:t>
      </w:r>
      <w:r w:rsidRPr="00D50B85">
        <w:rPr>
          <w:noProof/>
        </w:rPr>
        <w:t xml:space="preserve"> „Adoption of the Paris Agreement“</w:t>
      </w:r>
      <w:r w:rsidR="004C4E83" w:rsidRPr="00D50B85">
        <w:rPr>
          <w:noProof/>
        </w:rPr>
        <w:t>,</w:t>
      </w:r>
      <w:r w:rsidRPr="00D50B85">
        <w:rPr>
          <w:noProof/>
        </w:rPr>
        <w:t xml:space="preserve"> Paris, 2015</w:t>
      </w:r>
    </w:p>
    <w:p w:rsidR="008F13E0" w:rsidRPr="00FA6FF2" w:rsidRDefault="004C4E83" w:rsidP="00FA6FF2">
      <w:pPr>
        <w:pStyle w:val="Literatur"/>
        <w:rPr>
          <w:lang w:val="en-US"/>
        </w:rPr>
      </w:pPr>
      <w:r w:rsidRPr="00FA6FF2">
        <w:rPr>
          <w:lang w:val="en-US"/>
        </w:rPr>
        <w:t>[2]</w:t>
      </w:r>
      <w:r w:rsidRPr="00FA6FF2">
        <w:rPr>
          <w:lang w:val="en-US"/>
        </w:rPr>
        <w:tab/>
      </w:r>
      <w:r w:rsidR="00FA6FF2" w:rsidRPr="00FA6FF2">
        <w:rPr>
          <w:lang w:val="en-US"/>
        </w:rPr>
        <w:t xml:space="preserve">Ghanbari, Hamid; Saxén, Henrik; Grossmann, Ignacio E.: „Optimal Design and Operation of a Steel Plant Integrated with a Polygeneration System“, </w:t>
      </w:r>
      <w:r w:rsidR="00FA6FF2">
        <w:rPr>
          <w:lang w:val="en-US"/>
        </w:rPr>
        <w:t>AIChe Journal 59, 2013, S. 3659-3670</w:t>
      </w:r>
    </w:p>
    <w:p w:rsidR="008F13E0" w:rsidRPr="00FA6FF2" w:rsidRDefault="008F13E0" w:rsidP="008F13E0">
      <w:pPr>
        <w:pStyle w:val="Literatur"/>
        <w:rPr>
          <w:lang w:val="en-US"/>
        </w:rPr>
      </w:pPr>
      <w:r w:rsidRPr="00FA6FF2">
        <w:rPr>
          <w:lang w:val="en-US"/>
        </w:rPr>
        <w:t>[3]</w:t>
      </w:r>
      <w:r w:rsidR="004C4E83" w:rsidRPr="00FA6FF2">
        <w:rPr>
          <w:lang w:val="en-US"/>
        </w:rPr>
        <w:tab/>
      </w:r>
      <w:r w:rsidR="00FA6FF2" w:rsidRPr="00FA6FF2">
        <w:rPr>
          <w:lang w:val="en-US"/>
        </w:rPr>
        <w:t>Mathias van Beek: „</w:t>
      </w:r>
      <w:r w:rsidR="00FA6FF2">
        <w:rPr>
          <w:lang w:val="en-US"/>
        </w:rPr>
        <w:t>A R</w:t>
      </w:r>
      <w:r w:rsidR="00FA6FF2" w:rsidRPr="00FA6FF2">
        <w:rPr>
          <w:lang w:val="en-US"/>
        </w:rPr>
        <w:t xml:space="preserve">eview of </w:t>
      </w:r>
      <w:r w:rsidR="00FA6FF2">
        <w:rPr>
          <w:lang w:val="en-US"/>
        </w:rPr>
        <w:t>M</w:t>
      </w:r>
      <w:r w:rsidR="00FA6FF2" w:rsidRPr="00FA6FF2">
        <w:rPr>
          <w:lang w:val="en-US"/>
        </w:rPr>
        <w:t xml:space="preserve">athematical </w:t>
      </w:r>
      <w:r w:rsidR="00FA6FF2">
        <w:rPr>
          <w:lang w:val="en-US"/>
        </w:rPr>
        <w:t>P</w:t>
      </w:r>
      <w:r w:rsidR="00FA6FF2" w:rsidRPr="00FA6FF2">
        <w:rPr>
          <w:lang w:val="en-US"/>
        </w:rPr>
        <w:t xml:space="preserve">rogramming in </w:t>
      </w:r>
      <w:r w:rsidR="00FA6FF2">
        <w:rPr>
          <w:lang w:val="en-US"/>
        </w:rPr>
        <w:t>I</w:t>
      </w:r>
      <w:r w:rsidR="00FA6FF2" w:rsidRPr="00FA6FF2">
        <w:rPr>
          <w:lang w:val="en-US"/>
        </w:rPr>
        <w:t xml:space="preserve">ntegrated </w:t>
      </w:r>
      <w:r w:rsidR="00FA6FF2">
        <w:rPr>
          <w:lang w:val="en-US"/>
        </w:rPr>
        <w:t>I</w:t>
      </w:r>
      <w:r w:rsidR="00FA6FF2" w:rsidRPr="00FA6FF2">
        <w:rPr>
          <w:lang w:val="en-US"/>
        </w:rPr>
        <w:t>ron</w:t>
      </w:r>
      <w:r w:rsidR="00FA6FF2">
        <w:rPr>
          <w:lang w:val="en-US"/>
        </w:rPr>
        <w:t>-</w:t>
      </w:r>
      <w:r w:rsidR="00FA6FF2" w:rsidRPr="00FA6FF2">
        <w:rPr>
          <w:lang w:val="en-US"/>
        </w:rPr>
        <w:t xml:space="preserve"> and </w:t>
      </w:r>
      <w:r w:rsidR="00FA6FF2">
        <w:rPr>
          <w:lang w:val="en-US"/>
        </w:rPr>
        <w:t>S</w:t>
      </w:r>
      <w:r w:rsidR="00FA6FF2" w:rsidRPr="00FA6FF2">
        <w:rPr>
          <w:lang w:val="en-US"/>
        </w:rPr>
        <w:t>teelmaking</w:t>
      </w:r>
      <w:r w:rsidR="00FA6FF2">
        <w:rPr>
          <w:lang w:val="en-US"/>
        </w:rPr>
        <w:t>”, Chemie Ingenieur Technik</w:t>
      </w:r>
      <w:r w:rsidR="0048653E">
        <w:rPr>
          <w:lang w:val="en-US"/>
        </w:rPr>
        <w:t xml:space="preserve"> 90</w:t>
      </w:r>
      <w:r w:rsidR="00FA6FF2">
        <w:rPr>
          <w:lang w:val="en-US"/>
        </w:rPr>
        <w:t xml:space="preserve">, </w:t>
      </w:r>
      <w:r w:rsidR="0048653E">
        <w:rPr>
          <w:lang w:val="en-US"/>
        </w:rPr>
        <w:t>2018, S. 1568-1575</w:t>
      </w:r>
    </w:p>
    <w:p w:rsidR="00FA6FF2" w:rsidRDefault="008F13E0" w:rsidP="00FA6FF2">
      <w:pPr>
        <w:pStyle w:val="Literatur"/>
        <w:rPr>
          <w:lang w:val="en-US"/>
        </w:rPr>
      </w:pPr>
      <w:r w:rsidRPr="00FA6FF2">
        <w:rPr>
          <w:lang w:val="en-US"/>
        </w:rPr>
        <w:t>[4</w:t>
      </w:r>
      <w:r w:rsidR="004C4E83" w:rsidRPr="00FA6FF2">
        <w:rPr>
          <w:lang w:val="en-US"/>
        </w:rPr>
        <w:t>]</w:t>
      </w:r>
      <w:r w:rsidR="004C4E83" w:rsidRPr="00FA6FF2">
        <w:rPr>
          <w:lang w:val="en-US"/>
        </w:rPr>
        <w:tab/>
      </w:r>
      <w:r w:rsidR="00FA6FF2" w:rsidRPr="00FA6FF2">
        <w:rPr>
          <w:lang w:val="en-US"/>
        </w:rPr>
        <w:t>Pei Liu</w:t>
      </w:r>
      <w:r w:rsidR="00FA6FF2">
        <w:rPr>
          <w:lang w:val="en-US"/>
        </w:rPr>
        <w:t>,</w:t>
      </w:r>
      <w:r w:rsidR="00FA6FF2" w:rsidRPr="00FA6FF2">
        <w:rPr>
          <w:lang w:val="en-US"/>
        </w:rPr>
        <w:t xml:space="preserve"> Dimitrios I.</w:t>
      </w:r>
      <w:r w:rsidR="00FA6FF2">
        <w:rPr>
          <w:lang w:val="en-US"/>
        </w:rPr>
        <w:t xml:space="preserve"> </w:t>
      </w:r>
      <w:r w:rsidR="00FA6FF2" w:rsidRPr="00FA6FF2">
        <w:rPr>
          <w:lang w:val="en-US"/>
        </w:rPr>
        <w:t>Gerogiorgis</w:t>
      </w:r>
      <w:r w:rsidR="00FA6FF2">
        <w:rPr>
          <w:lang w:val="en-US"/>
        </w:rPr>
        <w:t>,</w:t>
      </w:r>
      <w:r w:rsidR="00FA6FF2" w:rsidRPr="00FA6FF2">
        <w:rPr>
          <w:lang w:val="en-US"/>
        </w:rPr>
        <w:t xml:space="preserve"> Efstratios N.</w:t>
      </w:r>
      <w:r w:rsidR="00FA6FF2">
        <w:rPr>
          <w:lang w:val="en-US"/>
        </w:rPr>
        <w:t xml:space="preserve"> </w:t>
      </w:r>
      <w:r w:rsidR="00FA6FF2" w:rsidRPr="00FA6FF2">
        <w:rPr>
          <w:lang w:val="en-US"/>
        </w:rPr>
        <w:t>Pistikopoulos</w:t>
      </w:r>
      <w:r w:rsidR="00FA6FF2">
        <w:rPr>
          <w:lang w:val="en-US"/>
        </w:rPr>
        <w:t>: “Modeling and optimization of polygeneration energy systems”, Catal. Today 127, 2007, S. 347-359</w:t>
      </w:r>
    </w:p>
    <w:p w:rsidR="00FA6FF2" w:rsidRPr="00FA6FF2" w:rsidRDefault="00FA6FF2" w:rsidP="00FF4014">
      <w:pPr>
        <w:pStyle w:val="Literatur"/>
        <w:rPr>
          <w:lang w:val="en-US"/>
        </w:rPr>
      </w:pPr>
      <w:r w:rsidRPr="00FA6FF2">
        <w:rPr>
          <w:lang w:val="en-US"/>
        </w:rPr>
        <w:t>[</w:t>
      </w:r>
      <w:r>
        <w:rPr>
          <w:lang w:val="en-US"/>
        </w:rPr>
        <w:t>5</w:t>
      </w:r>
      <w:r w:rsidRPr="00FA6FF2">
        <w:rPr>
          <w:lang w:val="en-US"/>
        </w:rPr>
        <w:t>]</w:t>
      </w:r>
      <w:r w:rsidRPr="00FA6FF2">
        <w:rPr>
          <w:lang w:val="en-US"/>
        </w:rPr>
        <w:tab/>
        <w:t>Jeong Hwan</w:t>
      </w:r>
      <w:r>
        <w:rPr>
          <w:lang w:val="en-US"/>
        </w:rPr>
        <w:t xml:space="preserve"> </w:t>
      </w:r>
      <w:r w:rsidRPr="00FA6FF2">
        <w:rPr>
          <w:lang w:val="en-US"/>
        </w:rPr>
        <w:t>Kim</w:t>
      </w:r>
      <w:r>
        <w:rPr>
          <w:lang w:val="en-US"/>
        </w:rPr>
        <w:t>,</w:t>
      </w:r>
      <w:r w:rsidRPr="00FA6FF2">
        <w:rPr>
          <w:lang w:val="en-US"/>
        </w:rPr>
        <w:t xml:space="preserve"> Heui-Seok</w:t>
      </w:r>
      <w:r>
        <w:rPr>
          <w:lang w:val="en-US"/>
        </w:rPr>
        <w:t xml:space="preserve"> </w:t>
      </w:r>
      <w:r w:rsidRPr="00FA6FF2">
        <w:rPr>
          <w:lang w:val="en-US"/>
        </w:rPr>
        <w:t>Yi</w:t>
      </w:r>
      <w:r w:rsidR="007146D8">
        <w:rPr>
          <w:lang w:val="en-US"/>
        </w:rPr>
        <w:t>,</w:t>
      </w:r>
      <w:r w:rsidRPr="00FA6FF2">
        <w:rPr>
          <w:lang w:val="en-US"/>
        </w:rPr>
        <w:t xml:space="preserve"> Chonghun</w:t>
      </w:r>
      <w:r w:rsidR="007146D8">
        <w:rPr>
          <w:lang w:val="en-US"/>
        </w:rPr>
        <w:t xml:space="preserve"> </w:t>
      </w:r>
      <w:r w:rsidR="007146D8" w:rsidRPr="00FA6FF2">
        <w:rPr>
          <w:lang w:val="en-US"/>
        </w:rPr>
        <w:t>Han</w:t>
      </w:r>
      <w:r w:rsidRPr="00FA6FF2">
        <w:rPr>
          <w:lang w:val="en-US"/>
        </w:rPr>
        <w:t>: “</w:t>
      </w:r>
      <w:r w:rsidR="00F967DC">
        <w:rPr>
          <w:lang w:val="en-US"/>
        </w:rPr>
        <w:t>Plant-wide optimal b</w:t>
      </w:r>
      <w:r w:rsidR="007146D8">
        <w:rPr>
          <w:lang w:val="en-US"/>
        </w:rPr>
        <w:t>yproduct gas distribution holder level control in the iron and steel making process</w:t>
      </w:r>
      <w:r w:rsidRPr="00FA6FF2">
        <w:rPr>
          <w:lang w:val="en-US"/>
        </w:rPr>
        <w:t xml:space="preserve">”, </w:t>
      </w:r>
      <w:r w:rsidR="007146D8">
        <w:rPr>
          <w:lang w:val="en-US"/>
        </w:rPr>
        <w:t>Korean Journal of Chemical Engineering</w:t>
      </w:r>
      <w:r w:rsidRPr="007146D8">
        <w:rPr>
          <w:lang w:val="en-US"/>
        </w:rPr>
        <w:t xml:space="preserve"> </w:t>
      </w:r>
      <w:r w:rsidR="007146D8">
        <w:rPr>
          <w:lang w:val="en-US"/>
        </w:rPr>
        <w:t>20</w:t>
      </w:r>
      <w:r w:rsidRPr="007146D8">
        <w:rPr>
          <w:lang w:val="en-US"/>
        </w:rPr>
        <w:t>, 200</w:t>
      </w:r>
      <w:r w:rsidR="007146D8">
        <w:rPr>
          <w:lang w:val="en-US"/>
        </w:rPr>
        <w:t>3</w:t>
      </w:r>
      <w:r w:rsidRPr="007146D8">
        <w:rPr>
          <w:lang w:val="en-US"/>
        </w:rPr>
        <w:t xml:space="preserve">, S. </w:t>
      </w:r>
      <w:r w:rsidR="007146D8">
        <w:rPr>
          <w:lang w:val="en-US"/>
        </w:rPr>
        <w:t>429</w:t>
      </w:r>
      <w:r w:rsidRPr="007146D8">
        <w:rPr>
          <w:lang w:val="en-US"/>
        </w:rPr>
        <w:t>-</w:t>
      </w:r>
      <w:r w:rsidR="007146D8">
        <w:rPr>
          <w:lang w:val="en-US"/>
        </w:rPr>
        <w:t>435</w:t>
      </w:r>
    </w:p>
    <w:sectPr w:rsidR="00FA6FF2" w:rsidRPr="00FA6FF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7D7" w:rsidRDefault="002947D7">
      <w:r>
        <w:separator/>
      </w:r>
    </w:p>
  </w:endnote>
  <w:endnote w:type="continuationSeparator" w:id="0">
    <w:p w:rsidR="002947D7" w:rsidRDefault="0029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7D7" w:rsidRDefault="002947D7">
      <w:r>
        <w:separator/>
      </w:r>
    </w:p>
  </w:footnote>
  <w:footnote w:type="continuationSeparator" w:id="0">
    <w:p w:rsidR="002947D7" w:rsidRDefault="002947D7">
      <w:r>
        <w:continuationSeparator/>
      </w:r>
    </w:p>
  </w:footnote>
  <w:footnote w:id="1">
    <w:p w:rsidR="00FF4014" w:rsidRDefault="00FF4014" w:rsidP="002014D3">
      <w:r w:rsidRPr="00A115D2">
        <w:rPr>
          <w:rStyle w:val="Funotenzeichen"/>
        </w:rPr>
        <w:footnoteRef/>
      </w:r>
      <w:r>
        <w:t xml:space="preserve"> Jungautor, Fraunhofer UMSICHT, Osterfelder Str. 3, 46047 Oberhausen, Tel.: +49 208 8598 1523 </w:t>
      </w:r>
    </w:p>
    <w:p w:rsidR="00FF4014" w:rsidRPr="00FB69AE" w:rsidRDefault="00FF4014" w:rsidP="002014D3">
      <w:r>
        <w:t>E-Mail: mathias.van.beek@umsicht.fraunhofer.de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012ADF"/>
    <w:rsid w:val="00052901"/>
    <w:rsid w:val="000E74B0"/>
    <w:rsid w:val="00137BB5"/>
    <w:rsid w:val="00141C87"/>
    <w:rsid w:val="00165138"/>
    <w:rsid w:val="0019190F"/>
    <w:rsid w:val="001B382E"/>
    <w:rsid w:val="001D4C89"/>
    <w:rsid w:val="001F318B"/>
    <w:rsid w:val="002014D3"/>
    <w:rsid w:val="00203E69"/>
    <w:rsid w:val="002213C6"/>
    <w:rsid w:val="00227125"/>
    <w:rsid w:val="00232CBA"/>
    <w:rsid w:val="002351E6"/>
    <w:rsid w:val="00262FD5"/>
    <w:rsid w:val="002714D1"/>
    <w:rsid w:val="002946B8"/>
    <w:rsid w:val="002947D7"/>
    <w:rsid w:val="002F3BC3"/>
    <w:rsid w:val="00342B22"/>
    <w:rsid w:val="00350F98"/>
    <w:rsid w:val="00395423"/>
    <w:rsid w:val="003B676F"/>
    <w:rsid w:val="003C28FE"/>
    <w:rsid w:val="003C4BDD"/>
    <w:rsid w:val="003D3943"/>
    <w:rsid w:val="003E0755"/>
    <w:rsid w:val="00434B90"/>
    <w:rsid w:val="004551C5"/>
    <w:rsid w:val="00466CFB"/>
    <w:rsid w:val="004779E7"/>
    <w:rsid w:val="00483B87"/>
    <w:rsid w:val="0048653E"/>
    <w:rsid w:val="004A34F1"/>
    <w:rsid w:val="004A7923"/>
    <w:rsid w:val="004C4E83"/>
    <w:rsid w:val="004D4778"/>
    <w:rsid w:val="005359E8"/>
    <w:rsid w:val="00583DC8"/>
    <w:rsid w:val="005B1ADB"/>
    <w:rsid w:val="005C0F4B"/>
    <w:rsid w:val="005E4D4F"/>
    <w:rsid w:val="005E547A"/>
    <w:rsid w:val="00661215"/>
    <w:rsid w:val="00694FFD"/>
    <w:rsid w:val="006C590A"/>
    <w:rsid w:val="007146D8"/>
    <w:rsid w:val="00737218"/>
    <w:rsid w:val="007378C8"/>
    <w:rsid w:val="00741EC0"/>
    <w:rsid w:val="00803917"/>
    <w:rsid w:val="00841092"/>
    <w:rsid w:val="00887458"/>
    <w:rsid w:val="00894B1E"/>
    <w:rsid w:val="008D0F9D"/>
    <w:rsid w:val="008F13E0"/>
    <w:rsid w:val="00903819"/>
    <w:rsid w:val="009674BC"/>
    <w:rsid w:val="0098710F"/>
    <w:rsid w:val="009D6C3A"/>
    <w:rsid w:val="009F3570"/>
    <w:rsid w:val="00A07737"/>
    <w:rsid w:val="00A156E4"/>
    <w:rsid w:val="00A43988"/>
    <w:rsid w:val="00A6148D"/>
    <w:rsid w:val="00A97158"/>
    <w:rsid w:val="00AB3413"/>
    <w:rsid w:val="00AF5E7F"/>
    <w:rsid w:val="00B07B75"/>
    <w:rsid w:val="00B81815"/>
    <w:rsid w:val="00BA569C"/>
    <w:rsid w:val="00BB446C"/>
    <w:rsid w:val="00BC0A87"/>
    <w:rsid w:val="00BF05FA"/>
    <w:rsid w:val="00C15BA5"/>
    <w:rsid w:val="00CE1A70"/>
    <w:rsid w:val="00D45627"/>
    <w:rsid w:val="00D50B85"/>
    <w:rsid w:val="00D53E86"/>
    <w:rsid w:val="00D6014E"/>
    <w:rsid w:val="00D736F8"/>
    <w:rsid w:val="00DA0F31"/>
    <w:rsid w:val="00DE3885"/>
    <w:rsid w:val="00DE5990"/>
    <w:rsid w:val="00E170FC"/>
    <w:rsid w:val="00E17DCD"/>
    <w:rsid w:val="00E520E6"/>
    <w:rsid w:val="00E63F88"/>
    <w:rsid w:val="00EC36A2"/>
    <w:rsid w:val="00EF1E2D"/>
    <w:rsid w:val="00F22AEA"/>
    <w:rsid w:val="00F335B0"/>
    <w:rsid w:val="00F426AC"/>
    <w:rsid w:val="00F6399D"/>
    <w:rsid w:val="00F65FB4"/>
    <w:rsid w:val="00F967DC"/>
    <w:rsid w:val="00FA6FF2"/>
    <w:rsid w:val="00FB69AE"/>
    <w:rsid w:val="00FD5D56"/>
    <w:rsid w:val="00FF4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8F3E30-2E3E-48EB-837E-82BE8EA6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Beschriftung">
    <w:name w:val="caption"/>
    <w:basedOn w:val="Standard"/>
    <w:next w:val="Standard"/>
    <w:uiPriority w:val="35"/>
    <w:unhideWhenUsed/>
    <w:qFormat/>
    <w:rsid w:val="002213C6"/>
    <w:rPr>
      <w:b/>
      <w:bCs/>
      <w:szCs w:val="20"/>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styleId="Kommentarzeichen">
    <w:name w:val="annotation reference"/>
    <w:uiPriority w:val="99"/>
    <w:semiHidden/>
    <w:unhideWhenUsed/>
    <w:rsid w:val="001B382E"/>
    <w:rPr>
      <w:sz w:val="16"/>
      <w:szCs w:val="16"/>
    </w:rPr>
  </w:style>
  <w:style w:type="paragraph" w:styleId="Kommentartext">
    <w:name w:val="annotation text"/>
    <w:basedOn w:val="Standard"/>
    <w:link w:val="KommentartextZchn"/>
    <w:uiPriority w:val="99"/>
    <w:semiHidden/>
    <w:unhideWhenUsed/>
    <w:rsid w:val="001B382E"/>
    <w:rPr>
      <w:szCs w:val="20"/>
    </w:rPr>
  </w:style>
  <w:style w:type="paragraph" w:customStyle="1" w:styleId="Literatur">
    <w:name w:val="Literatur"/>
    <w:basedOn w:val="Standard"/>
    <w:rsid w:val="005E4D4F"/>
    <w:pPr>
      <w:ind w:left="284" w:hanging="284"/>
    </w:pPr>
    <w:rPr>
      <w:rFonts w:cs="Arial"/>
      <w:szCs w:val="20"/>
      <w:lang w:eastAsia="de-DE"/>
    </w:rPr>
  </w:style>
  <w:style w:type="character" w:customStyle="1" w:styleId="KommentartextZchn">
    <w:name w:val="Kommentartext Zchn"/>
    <w:link w:val="Kommentartext"/>
    <w:uiPriority w:val="99"/>
    <w:semiHidden/>
    <w:rsid w:val="001B382E"/>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1B382E"/>
    <w:rPr>
      <w:b/>
      <w:bCs/>
    </w:rPr>
  </w:style>
  <w:style w:type="character" w:customStyle="1" w:styleId="KommentarthemaZchn">
    <w:name w:val="Kommentarthema Zchn"/>
    <w:link w:val="Kommentarthema"/>
    <w:uiPriority w:val="99"/>
    <w:semiHidden/>
    <w:rsid w:val="001B382E"/>
    <w:rPr>
      <w:rFonts w:ascii="Arial" w:hAnsi="Arial"/>
      <w:b/>
      <w:bCs/>
      <w:lang w:eastAsia="ko-KR"/>
    </w:rPr>
  </w:style>
  <w:style w:type="paragraph" w:styleId="Sprechblasentext">
    <w:name w:val="Balloon Text"/>
    <w:basedOn w:val="Standard"/>
    <w:link w:val="SprechblasentextZchn"/>
    <w:uiPriority w:val="99"/>
    <w:semiHidden/>
    <w:unhideWhenUsed/>
    <w:rsid w:val="001B382E"/>
    <w:rPr>
      <w:rFonts w:ascii="Tahoma" w:hAnsi="Tahoma" w:cs="Tahoma"/>
      <w:sz w:val="16"/>
      <w:szCs w:val="16"/>
    </w:rPr>
  </w:style>
  <w:style w:type="character" w:customStyle="1" w:styleId="SprechblasentextZchn">
    <w:name w:val="Sprechblasentext Zchn"/>
    <w:link w:val="Sprechblasentext"/>
    <w:uiPriority w:val="99"/>
    <w:semiHidden/>
    <w:rsid w:val="001B382E"/>
    <w:rPr>
      <w:rFonts w:ascii="Tahoma" w:hAnsi="Tahoma" w:cs="Tahoma"/>
      <w:sz w:val="16"/>
      <w:szCs w:val="16"/>
      <w:lang w:eastAsia="ko-KR"/>
    </w:rPr>
  </w:style>
  <w:style w:type="paragraph" w:styleId="StandardWeb">
    <w:name w:val="Normal (Web)"/>
    <w:basedOn w:val="Standard"/>
    <w:uiPriority w:val="99"/>
    <w:semiHidden/>
    <w:unhideWhenUsed/>
    <w:rsid w:val="00D45627"/>
    <w:pPr>
      <w:spacing w:before="100" w:beforeAutospacing="1" w:after="100" w:afterAutospacing="1"/>
      <w:jc w:val="left"/>
    </w:pPr>
    <w:rPr>
      <w:rFonts w:ascii="Times New Roman" w:hAnsi="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DCD5E86A.dotm</Template>
  <TotalTime>0</TotalTime>
  <Pages>2</Pages>
  <Words>666</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Beek, Mathias van</cp:lastModifiedBy>
  <cp:revision>2</cp:revision>
  <cp:lastPrinted>2018-11-07T15:22:00Z</cp:lastPrinted>
  <dcterms:created xsi:type="dcterms:W3CDTF">2018-11-07T16:05:00Z</dcterms:created>
  <dcterms:modified xsi:type="dcterms:W3CDTF">2018-11-07T16:05:00Z</dcterms:modified>
</cp:coreProperties>
</file>