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479" w:rsidRPr="00346479" w:rsidRDefault="00DA763A" w:rsidP="00DA763A">
      <w:pPr>
        <w:jc w:val="center"/>
        <w:rPr>
          <w:rFonts w:cs="Arial"/>
          <w:b/>
          <w:snapToGrid w:val="0"/>
          <w:kern w:val="28"/>
          <w:sz w:val="32"/>
          <w:szCs w:val="20"/>
          <w:lang w:eastAsia="en-US"/>
        </w:rPr>
      </w:pPr>
      <w:bookmarkStart w:id="0" w:name="_GoBack"/>
      <w:bookmarkEnd w:id="0"/>
      <w:r>
        <w:rPr>
          <w:rFonts w:cs="Arial"/>
          <w:b/>
          <w:snapToGrid w:val="0"/>
          <w:kern w:val="28"/>
          <w:sz w:val="32"/>
          <w:szCs w:val="20"/>
          <w:lang w:eastAsia="en-US"/>
        </w:rPr>
        <w:t xml:space="preserve">Methoden zur </w:t>
      </w:r>
      <w:r w:rsidR="009328F6">
        <w:rPr>
          <w:rFonts w:cs="Arial"/>
          <w:b/>
          <w:snapToGrid w:val="0"/>
          <w:kern w:val="28"/>
          <w:sz w:val="32"/>
          <w:szCs w:val="20"/>
          <w:lang w:eastAsia="en-US"/>
        </w:rPr>
        <w:t>Reduktion der Rechenzeiten</w:t>
      </w:r>
      <w:r w:rsidR="00346479" w:rsidRPr="00346479">
        <w:rPr>
          <w:rFonts w:cs="Arial"/>
          <w:b/>
          <w:snapToGrid w:val="0"/>
          <w:kern w:val="28"/>
          <w:sz w:val="32"/>
          <w:szCs w:val="20"/>
          <w:lang w:eastAsia="en-US"/>
        </w:rPr>
        <w:t xml:space="preserve"> </w:t>
      </w:r>
      <w:r>
        <w:rPr>
          <w:rFonts w:cs="Arial"/>
          <w:b/>
          <w:snapToGrid w:val="0"/>
          <w:kern w:val="28"/>
          <w:sz w:val="32"/>
          <w:szCs w:val="20"/>
          <w:lang w:eastAsia="en-US"/>
        </w:rPr>
        <w:t>linear optimierender Energiesystemmodelle</w:t>
      </w:r>
    </w:p>
    <w:p w:rsidR="00BF05FA" w:rsidRDefault="00346479" w:rsidP="00A156E4">
      <w:pPr>
        <w:pStyle w:val="AutorenOrganisation"/>
      </w:pPr>
      <w:r>
        <w:t>Modellierung</w:t>
      </w:r>
    </w:p>
    <w:p w:rsidR="005E4D4F" w:rsidRPr="00CB37C1" w:rsidRDefault="00921B11" w:rsidP="00A156E4">
      <w:pPr>
        <w:pStyle w:val="AutorenOrganisation"/>
      </w:pPr>
      <w:r>
        <w:t>Kai VON KRBEK</w:t>
      </w:r>
      <w:r w:rsidRPr="00A156E4">
        <w:rPr>
          <w:vertAlign w:val="superscript"/>
        </w:rPr>
        <w:t>(</w:t>
      </w:r>
      <w:r>
        <w:rPr>
          <w:vertAlign w:val="superscript"/>
        </w:rPr>
        <w:t>1)</w:t>
      </w:r>
      <w:r w:rsidRPr="000F3CEF">
        <w:t xml:space="preserve">, </w:t>
      </w:r>
      <w:r w:rsidR="00346479">
        <w:t>Yvonne</w:t>
      </w:r>
      <w:r w:rsidR="005E4D4F" w:rsidRPr="005E4D4F">
        <w:t xml:space="preserve"> </w:t>
      </w:r>
      <w:r w:rsidR="00CB37C1">
        <w:t>SCHOLZ</w:t>
      </w:r>
      <w:r w:rsidR="005E4D4F" w:rsidRPr="00010E92">
        <w:rPr>
          <w:vertAlign w:val="superscript"/>
        </w:rPr>
        <w:footnoteReference w:id="1"/>
      </w:r>
      <w:r w:rsidR="00A156E4" w:rsidRPr="00A156E4">
        <w:rPr>
          <w:vertAlign w:val="superscript"/>
        </w:rPr>
        <w:t>(1</w:t>
      </w:r>
      <w:r w:rsidR="00A156E4">
        <w:rPr>
          <w:vertAlign w:val="superscript"/>
        </w:rPr>
        <w:t>)</w:t>
      </w:r>
      <w:r w:rsidR="005E4D4F" w:rsidRPr="005E4D4F">
        <w:t xml:space="preserve">, </w:t>
      </w:r>
      <w:r w:rsidR="00CB37C1">
        <w:t>Karl Kiên</w:t>
      </w:r>
      <w:r w:rsidR="00010E92" w:rsidRPr="005E4D4F">
        <w:t xml:space="preserve"> </w:t>
      </w:r>
      <w:r w:rsidR="00CB37C1">
        <w:t>CAO</w:t>
      </w:r>
      <w:r w:rsidR="00A156E4" w:rsidRPr="00A156E4">
        <w:rPr>
          <w:vertAlign w:val="superscript"/>
        </w:rPr>
        <w:t>(</w:t>
      </w:r>
      <w:r w:rsidR="00CB37C1">
        <w:rPr>
          <w:vertAlign w:val="superscript"/>
        </w:rPr>
        <w:t>1</w:t>
      </w:r>
      <w:r w:rsidR="00A156E4">
        <w:rPr>
          <w:vertAlign w:val="superscript"/>
        </w:rPr>
        <w:t>)</w:t>
      </w:r>
      <w:r w:rsidR="00CB37C1">
        <w:t>, Manuel WETZEL</w:t>
      </w:r>
      <w:r w:rsidR="00CB37C1" w:rsidRPr="00A156E4">
        <w:rPr>
          <w:vertAlign w:val="superscript"/>
        </w:rPr>
        <w:t>(</w:t>
      </w:r>
      <w:r w:rsidR="00CB37C1">
        <w:rPr>
          <w:vertAlign w:val="superscript"/>
        </w:rPr>
        <w:t>1)</w:t>
      </w:r>
      <w:r w:rsidR="00CB37C1">
        <w:t xml:space="preserve">, </w:t>
      </w:r>
      <w:r w:rsidR="00DE30D9">
        <w:t>Felix CEBULLA</w:t>
      </w:r>
      <w:r w:rsidR="00F105CF">
        <w:rPr>
          <w:vertAlign w:val="superscript"/>
        </w:rPr>
        <w:t>2(1)</w:t>
      </w:r>
      <w:r w:rsidR="00DE30D9">
        <w:t xml:space="preserve">, </w:t>
      </w:r>
      <w:r w:rsidR="00F105CF" w:rsidRPr="000F3CEF">
        <w:t xml:space="preserve">Hans Christian </w:t>
      </w:r>
      <w:r w:rsidR="00F105CF">
        <w:t>GILS</w:t>
      </w:r>
      <w:r w:rsidR="00F105CF" w:rsidRPr="00A156E4">
        <w:rPr>
          <w:vertAlign w:val="superscript"/>
        </w:rPr>
        <w:t>(</w:t>
      </w:r>
      <w:r w:rsidR="00F105CF">
        <w:rPr>
          <w:vertAlign w:val="superscript"/>
        </w:rPr>
        <w:t>1)</w:t>
      </w:r>
      <w:r w:rsidR="00F105CF">
        <w:t xml:space="preserve">, </w:t>
      </w:r>
      <w:r w:rsidR="00DE30D9">
        <w:t>Benjamin FUCHS</w:t>
      </w:r>
      <w:r w:rsidR="00DE30D9" w:rsidRPr="00A156E4">
        <w:rPr>
          <w:vertAlign w:val="superscript"/>
        </w:rPr>
        <w:t>(</w:t>
      </w:r>
      <w:r w:rsidR="00DE30D9">
        <w:rPr>
          <w:vertAlign w:val="superscript"/>
        </w:rPr>
        <w:t>1)</w:t>
      </w:r>
      <w:r w:rsidR="00DE30D9">
        <w:t xml:space="preserve">, </w:t>
      </w:r>
      <w:r w:rsidR="00DE30D9" w:rsidRPr="000F3CEF">
        <w:t xml:space="preserve">Frieder </w:t>
      </w:r>
      <w:r w:rsidR="00DE30D9">
        <w:t>BORGGREFE</w:t>
      </w:r>
      <w:r w:rsidR="00DE30D9" w:rsidRPr="00A156E4">
        <w:rPr>
          <w:vertAlign w:val="superscript"/>
        </w:rPr>
        <w:t>(</w:t>
      </w:r>
      <w:r w:rsidR="00DE30D9">
        <w:rPr>
          <w:vertAlign w:val="superscript"/>
        </w:rPr>
        <w:t>1)</w:t>
      </w:r>
    </w:p>
    <w:p w:rsidR="005E4D4F" w:rsidRDefault="00A156E4" w:rsidP="005E4D4F">
      <w:pPr>
        <w:pStyle w:val="AutorenOrganisation"/>
      </w:pPr>
      <w:r>
        <w:rPr>
          <w:vertAlign w:val="superscript"/>
        </w:rPr>
        <w:t>(</w:t>
      </w:r>
      <w:r w:rsidR="00010E92" w:rsidRPr="00010E92">
        <w:rPr>
          <w:vertAlign w:val="superscript"/>
        </w:rPr>
        <w:t>1</w:t>
      </w:r>
      <w:r>
        <w:rPr>
          <w:vertAlign w:val="superscript"/>
        </w:rPr>
        <w:t>)</w:t>
      </w:r>
      <w:r w:rsidR="00346479">
        <w:t>Deutsches Zentrum für Luft- und Raumfahrt</w:t>
      </w:r>
      <w:r w:rsidR="00010E92">
        <w:t xml:space="preserve">, </w:t>
      </w:r>
      <w:r w:rsidRPr="00A156E4">
        <w:rPr>
          <w:vertAlign w:val="superscript"/>
        </w:rPr>
        <w:t>(</w:t>
      </w:r>
      <w:r w:rsidR="00010E92" w:rsidRPr="00010E92">
        <w:rPr>
          <w:vertAlign w:val="superscript"/>
        </w:rPr>
        <w:t>2</w:t>
      </w:r>
      <w:r>
        <w:rPr>
          <w:vertAlign w:val="superscript"/>
        </w:rPr>
        <w:t>)</w:t>
      </w:r>
      <w:r w:rsidR="00F105CF">
        <w:t>Innogy SE</w:t>
      </w:r>
    </w:p>
    <w:p w:rsidR="00233AD5" w:rsidRPr="005E4D4F" w:rsidRDefault="00233AD5" w:rsidP="00FB69AE">
      <w:pPr>
        <w:rPr>
          <w:lang w:val="de-AT"/>
        </w:rPr>
      </w:pPr>
    </w:p>
    <w:p w:rsidR="005E4D4F" w:rsidRPr="005E4D4F" w:rsidRDefault="005E4D4F" w:rsidP="005E4D4F">
      <w:pPr>
        <w:pStyle w:val="Ueberschrift"/>
      </w:pPr>
      <w:r w:rsidRPr="005E4D4F">
        <w:t>Motivation und zentrale Fragestellung</w:t>
      </w:r>
    </w:p>
    <w:p w:rsidR="009A0DD3" w:rsidRDefault="00640739" w:rsidP="00227125">
      <w:r>
        <w:t xml:space="preserve">Optimierende Energiesystemmodelle sind durch die hohe Anzahl an Variablen und Gleichungen und aufgrund der Wechselbeziehungen der Variablen untereinander </w:t>
      </w:r>
      <w:r w:rsidR="004129EC">
        <w:t xml:space="preserve">groß und </w:t>
      </w:r>
      <w:r>
        <w:t xml:space="preserve">komplex. </w:t>
      </w:r>
      <w:r w:rsidR="009A0DD3">
        <w:t xml:space="preserve">Für akzeptable </w:t>
      </w:r>
      <w:r>
        <w:t xml:space="preserve">Rechenzeiten </w:t>
      </w:r>
      <w:r w:rsidR="009A0DD3">
        <w:t>muss</w:t>
      </w:r>
      <w:r>
        <w:t xml:space="preserve"> die Auflösung in den Modelldimensionen Raum, Zeit und Technologie </w:t>
      </w:r>
      <w:r w:rsidR="009A0DD3">
        <w:t xml:space="preserve">häufig </w:t>
      </w:r>
      <w:r>
        <w:t xml:space="preserve">der </w:t>
      </w:r>
      <w:r w:rsidR="001321A7">
        <w:t xml:space="preserve">jeweiligen Rechnerinfrastruktur angepasst werden. Um unterschiedliche Auflösungen bewerten und um Fragestellungen mit angemessener Auflösung modellieren zu können, </w:t>
      </w:r>
      <w:r w:rsidR="00DA763A">
        <w:t xml:space="preserve">entwickelt, </w:t>
      </w:r>
      <w:r w:rsidR="001321A7">
        <w:t xml:space="preserve">implementiert und bewertet im Projekt „BEAM-ME“ ein Konsortium aus Energiesystemmodellierern, Mathematikern und Informatikern </w:t>
      </w:r>
      <w:r w:rsidR="009A0DD3">
        <w:t xml:space="preserve">Methoden zur </w:t>
      </w:r>
      <w:r w:rsidR="009328F6">
        <w:t>Reduktion</w:t>
      </w:r>
      <w:r w:rsidR="009A0DD3">
        <w:t xml:space="preserve"> der Modell</w:t>
      </w:r>
      <w:r w:rsidR="009328F6">
        <w:t>rechenzeiten</w:t>
      </w:r>
      <w:r w:rsidR="009A0DD3">
        <w:t>.</w:t>
      </w:r>
      <w:r w:rsidR="00DA763A">
        <w:t xml:space="preserve"> </w:t>
      </w:r>
      <w:r w:rsidR="00DE30D9">
        <w:t xml:space="preserve">Dieser Beitrag </w:t>
      </w:r>
      <w:r w:rsidR="00DA763A">
        <w:t xml:space="preserve">gibt eine Übersicht über die Methoden, stellt </w:t>
      </w:r>
      <w:r w:rsidR="00D5607E">
        <w:t xml:space="preserve">ausgewählte </w:t>
      </w:r>
      <w:r w:rsidR="00DA763A">
        <w:t xml:space="preserve">Implementierungen im Energiesystemmodell REMix des </w:t>
      </w:r>
      <w:r w:rsidR="004A5A47">
        <w:t>Deutschen Zentrums für Luft- und Raumfahrt (</w:t>
      </w:r>
      <w:r w:rsidR="00DA763A">
        <w:t>DLR</w:t>
      </w:r>
      <w:r w:rsidR="004A5A47">
        <w:t>)</w:t>
      </w:r>
      <w:r w:rsidR="00DA763A">
        <w:t xml:space="preserve"> und zeigt erste Ergebnisse. </w:t>
      </w:r>
    </w:p>
    <w:p w:rsidR="00233AD5" w:rsidRPr="005E4D4F" w:rsidRDefault="00233AD5" w:rsidP="00227125"/>
    <w:p w:rsidR="005E4D4F" w:rsidRDefault="005E4D4F" w:rsidP="005E4D4F">
      <w:pPr>
        <w:pStyle w:val="Ueberschrift"/>
      </w:pPr>
      <w:r w:rsidRPr="005E4D4F">
        <w:t>Methodische Vorgangsweise</w:t>
      </w:r>
    </w:p>
    <w:p w:rsidR="00974BF3" w:rsidRDefault="009328F6" w:rsidP="009A0DD3">
      <w:r>
        <w:t>Die Methoden zur Rechenzeitreduktion lassen sich in modellbezogene und technische Methoden gliedern.</w:t>
      </w:r>
      <w:r w:rsidR="002D510F">
        <w:t xml:space="preserve"> Die modellbezogenen</w:t>
      </w:r>
      <w:r>
        <w:t xml:space="preserve"> Methoden </w:t>
      </w:r>
      <w:r w:rsidR="00DA763A">
        <w:t xml:space="preserve">umfassen </w:t>
      </w:r>
      <w:r w:rsidR="002D510F">
        <w:t>häufig angewandte Vereinfachungen (Auswahl von Teil</w:t>
      </w:r>
      <w:r w:rsidR="00FB1003">
        <w:t>-Zeiträumen</w:t>
      </w:r>
      <w:r w:rsidR="00727320">
        <w:t xml:space="preserve"> (</w:t>
      </w:r>
      <w:r w:rsidR="00526CEA">
        <w:t>z.B. </w:t>
      </w:r>
      <w:r w:rsidR="00727320">
        <w:t>[</w:t>
      </w:r>
      <w:r w:rsidR="00526CEA">
        <w:t>1]</w:t>
      </w:r>
      <w:r w:rsidR="00727320">
        <w:t>)</w:t>
      </w:r>
      <w:r w:rsidR="00FB1003">
        <w:t xml:space="preserve">, </w:t>
      </w:r>
      <w:r w:rsidR="002D510F">
        <w:t>-Untersuchungsgebieten</w:t>
      </w:r>
      <w:r w:rsidR="00FB1003">
        <w:t xml:space="preserve"> </w:t>
      </w:r>
      <w:r w:rsidR="00526CEA">
        <w:t>(z.B. </w:t>
      </w:r>
      <w:r w:rsidR="00727320">
        <w:t>[</w:t>
      </w:r>
      <w:r w:rsidR="00526CEA">
        <w:t>2</w:t>
      </w:r>
      <w:r w:rsidR="00727320">
        <w:t>]</w:t>
      </w:r>
      <w:r w:rsidR="00526CEA">
        <w:t>)</w:t>
      </w:r>
      <w:r w:rsidR="00727320">
        <w:t xml:space="preserve"> </w:t>
      </w:r>
      <w:r w:rsidR="00FB1003">
        <w:t xml:space="preserve">oder </w:t>
      </w:r>
      <w:r w:rsidR="00727320">
        <w:t>-</w:t>
      </w:r>
      <w:r w:rsidR="00FB1003">
        <w:t>Technologieportfolios</w:t>
      </w:r>
      <w:r w:rsidR="00727320">
        <w:t xml:space="preserve"> </w:t>
      </w:r>
      <w:r w:rsidR="00526CEA">
        <w:t>(z.B. </w:t>
      </w:r>
      <w:r w:rsidR="00727320">
        <w:t>[</w:t>
      </w:r>
      <w:r w:rsidR="00526CEA">
        <w:t>3</w:t>
      </w:r>
      <w:r w:rsidR="00727320">
        <w:t>]</w:t>
      </w:r>
      <w:r w:rsidR="00526CEA">
        <w:t>)</w:t>
      </w:r>
      <w:r w:rsidR="002D510F">
        <w:t xml:space="preserve">, </w:t>
      </w:r>
      <w:r w:rsidR="00DA763A">
        <w:t>Aggregation</w:t>
      </w:r>
      <w:r w:rsidR="002D510F">
        <w:t xml:space="preserve"> von Zeitschritten</w:t>
      </w:r>
      <w:r w:rsidR="00727320">
        <w:t xml:space="preserve"> (</w:t>
      </w:r>
      <w:r w:rsidR="00526CEA">
        <w:t>z.B. [4]</w:t>
      </w:r>
      <w:r w:rsidR="00727320">
        <w:t>)</w:t>
      </w:r>
      <w:r w:rsidR="00FB1003">
        <w:t xml:space="preserve">, </w:t>
      </w:r>
      <w:r w:rsidR="002D510F">
        <w:t>Regionen</w:t>
      </w:r>
      <w:r w:rsidR="00FB1003">
        <w:t xml:space="preserve"> </w:t>
      </w:r>
      <w:r w:rsidR="00727320">
        <w:t>(</w:t>
      </w:r>
      <w:r w:rsidR="00526CEA">
        <w:t>z.B. [5]</w:t>
      </w:r>
      <w:r w:rsidR="00727320">
        <w:t xml:space="preserve">) </w:t>
      </w:r>
      <w:r w:rsidR="00FB1003">
        <w:t>oder Technologien</w:t>
      </w:r>
      <w:r w:rsidR="00727320">
        <w:t xml:space="preserve"> (</w:t>
      </w:r>
      <w:r w:rsidR="00526CEA">
        <w:t>z.B. [6]</w:t>
      </w:r>
      <w:r w:rsidR="002D510F">
        <w:t>), Heuristiken (Rolling Horizon</w:t>
      </w:r>
      <w:r w:rsidR="00727320">
        <w:t xml:space="preserve"> </w:t>
      </w:r>
      <w:r w:rsidR="00526CEA">
        <w:t xml:space="preserve">(z.B. </w:t>
      </w:r>
      <w:r w:rsidR="00727320">
        <w:t>[</w:t>
      </w:r>
      <w:r w:rsidR="00526CEA">
        <w:t>7</w:t>
      </w:r>
      <w:r w:rsidR="00727320">
        <w:t>]</w:t>
      </w:r>
      <w:r w:rsidR="00526CEA">
        <w:t>)</w:t>
      </w:r>
      <w:r w:rsidR="002D510F">
        <w:t>, zeitliches oder räumliches „Zooming“</w:t>
      </w:r>
      <w:r w:rsidR="00FB1003">
        <w:t>) und mathematisch exakte Dekompositionstechniken (Dantzig-Wolfe-Dekomposition, Lagrangian Relaxtion, Benders-Dekomposition).</w:t>
      </w:r>
      <w:r w:rsidR="00E0044A">
        <w:t xml:space="preserve"> </w:t>
      </w:r>
    </w:p>
    <w:tbl>
      <w:tblPr>
        <w:tblpPr w:leftFromText="142" w:rightFromText="142" w:topFromText="85" w:vertAnchor="text" w:horzAnchor="margin" w:tblpY="778"/>
        <w:tblOverlap w:val="never"/>
        <w:tblW w:w="0" w:type="auto"/>
        <w:tblBorders>
          <w:insideV w:val="single" w:sz="4" w:space="0" w:color="auto"/>
        </w:tblBorders>
        <w:tblLayout w:type="fixed"/>
        <w:tblLook w:val="04A0" w:firstRow="1" w:lastRow="0" w:firstColumn="1" w:lastColumn="0" w:noHBand="0" w:noVBand="1"/>
      </w:tblPr>
      <w:tblGrid>
        <w:gridCol w:w="4361"/>
      </w:tblGrid>
      <w:tr w:rsidR="00304E7A" w:rsidTr="00327C97">
        <w:trPr>
          <w:trHeight w:val="2981"/>
        </w:trPr>
        <w:tc>
          <w:tcPr>
            <w:tcW w:w="4361" w:type="dxa"/>
            <w:shd w:val="clear" w:color="auto" w:fill="auto"/>
          </w:tcPr>
          <w:p w:rsidR="00304E7A" w:rsidRPr="00550811" w:rsidRDefault="00537F5D" w:rsidP="00327C97">
            <w:pPr>
              <w:rPr>
                <w:rFonts w:eastAsia="Calibri"/>
                <w:noProof/>
                <w:sz w:val="16"/>
                <w:szCs w:val="16"/>
                <w:lang w:eastAsia="de-DE"/>
              </w:rPr>
            </w:pPr>
            <w:r>
              <w:rPr>
                <w:rFonts w:eastAsia="Calibri"/>
                <w:noProof/>
                <w:sz w:val="16"/>
                <w:szCs w:val="16"/>
                <w:lang w:eastAsia="de-DE"/>
              </w:rPr>
              <w:drawing>
                <wp:inline distT="0" distB="0" distL="0" distR="0">
                  <wp:extent cx="2463800" cy="1879600"/>
                  <wp:effectExtent l="19050" t="19050" r="12700" b="25400"/>
                  <wp:docPr id="1" name="Picture 2" descr="D:\PyCharm\LP-Plotting\AnnotationPlotting\pl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yCharm\LP-Plotting\AnnotationPlotting\plai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3800" cy="1879600"/>
                          </a:xfrm>
                          <a:prstGeom prst="rect">
                            <a:avLst/>
                          </a:prstGeom>
                          <a:noFill/>
                          <a:ln w="9525" cmpd="sng">
                            <a:solidFill>
                              <a:srgbClr val="000000"/>
                            </a:solidFill>
                            <a:miter lim="800000"/>
                            <a:headEnd/>
                            <a:tailEnd/>
                          </a:ln>
                          <a:effectLst/>
                        </pic:spPr>
                      </pic:pic>
                    </a:graphicData>
                  </a:graphic>
                </wp:inline>
              </w:drawing>
            </w:r>
          </w:p>
          <w:p w:rsidR="00304E7A" w:rsidRPr="00550811" w:rsidRDefault="00304E7A" w:rsidP="00327C97">
            <w:pPr>
              <w:rPr>
                <w:rFonts w:eastAsia="Calibri"/>
                <w:sz w:val="16"/>
                <w:szCs w:val="16"/>
              </w:rPr>
            </w:pPr>
          </w:p>
        </w:tc>
      </w:tr>
      <w:tr w:rsidR="00304E7A" w:rsidTr="00327C97">
        <w:tc>
          <w:tcPr>
            <w:tcW w:w="4361" w:type="dxa"/>
            <w:shd w:val="clear" w:color="auto" w:fill="auto"/>
          </w:tcPr>
          <w:p w:rsidR="00304E7A" w:rsidRDefault="00304E7A" w:rsidP="00327C97">
            <w:pPr>
              <w:pStyle w:val="Abbildungsbeschriftung"/>
              <w:jc w:val="left"/>
            </w:pPr>
            <w:r w:rsidRPr="00974BF3">
              <w:t>Abbildung 1: Einträge in der Mo</w:t>
            </w:r>
            <w:r>
              <w:t xml:space="preserve">dellmatrix einer REMix-Instanz. x-Achse: Variablen, </w:t>
            </w:r>
          </w:p>
          <w:p w:rsidR="00304E7A" w:rsidRPr="006019FD" w:rsidRDefault="00304E7A" w:rsidP="00327C97">
            <w:pPr>
              <w:pStyle w:val="Abbildungsbeschriftung"/>
              <w:jc w:val="left"/>
            </w:pPr>
            <w:r>
              <w:t>y-Achse: Rand</w:t>
            </w:r>
            <w:r w:rsidRPr="00974BF3">
              <w:t>bedingungen.</w:t>
            </w:r>
          </w:p>
        </w:tc>
      </w:tr>
    </w:tbl>
    <w:p w:rsidR="00707779" w:rsidRDefault="00E0044A" w:rsidP="00C0271D">
      <w:r>
        <w:t>Technische Methoden nutzen Computer mit mehr Rechenleistung und/oder mehr Arbeitsspeicher</w:t>
      </w:r>
      <w:r w:rsidR="005768A0">
        <w:t xml:space="preserve"> bis hin zu Höchstleistungsrechnern</w:t>
      </w:r>
      <w:r>
        <w:t xml:space="preserve">. Um </w:t>
      </w:r>
      <w:r w:rsidR="005768A0">
        <w:t>deren Potenzial ausschöpfen</w:t>
      </w:r>
      <w:r>
        <w:t xml:space="preserve"> zu können, müssen die Optimierungsprobleme </w:t>
      </w:r>
      <w:r w:rsidR="005768A0">
        <w:t xml:space="preserve">in parallel lösbare Blöcke unterteilt werden. Aufgrund der Wechselwirkungen </w:t>
      </w:r>
      <w:r w:rsidR="00563F0C">
        <w:t xml:space="preserve">im Energiesystem </w:t>
      </w:r>
      <w:r w:rsidR="005768A0">
        <w:t xml:space="preserve">in den Dimensionen Zeit, Raum und Technologie (z.B. Speicher, Netze, </w:t>
      </w:r>
      <w:r w:rsidR="00563F0C">
        <w:t>ein gemeinsames CO</w:t>
      </w:r>
      <w:r w:rsidR="00563F0C" w:rsidRPr="00563F0C">
        <w:rPr>
          <w:vertAlign w:val="subscript"/>
        </w:rPr>
        <w:t>2</w:t>
      </w:r>
      <w:r w:rsidR="00563F0C">
        <w:t>-Emissionslimit oder gemeinsam genutzte Ressourcen</w:t>
      </w:r>
      <w:r w:rsidR="005768A0">
        <w:t>)</w:t>
      </w:r>
      <w:r w:rsidR="00563F0C">
        <w:t xml:space="preserve"> kommen in Energiesystemmodellen sogenannte „Linking Constraints“ und „Linking Variables“ vor, die die Parallelisierung </w:t>
      </w:r>
      <w:r w:rsidR="00954BD6">
        <w:t>erschweren</w:t>
      </w:r>
      <w:r w:rsidR="00563F0C">
        <w:t xml:space="preserve">. </w:t>
      </w:r>
      <w:r w:rsidR="00B529A0">
        <w:t>Abbildung 1</w:t>
      </w:r>
      <w:r w:rsidR="00B104A6">
        <w:t xml:space="preserve"> zeigt die Nicht-Null-Einträge in der M</w:t>
      </w:r>
      <w:r w:rsidR="009C3D4B">
        <w:t>odellmatrix einer REMix-Instanz</w:t>
      </w:r>
      <w:r w:rsidR="00B104A6">
        <w:t xml:space="preserve">. Die </w:t>
      </w:r>
      <w:r w:rsidR="000817BD">
        <w:t>L</w:t>
      </w:r>
      <w:r w:rsidR="002B183C">
        <w:t>inking-Elemente</w:t>
      </w:r>
      <w:r w:rsidR="00B104A6">
        <w:t xml:space="preserve"> sind darin an ihrem senkrechten oder vertikalen Verlauf über zwei oder mehr Zeilen oder Spalten erkennbar. </w:t>
      </w:r>
      <w:r w:rsidR="00954BD6">
        <w:t>Durch Permutation können parallel lösbare</w:t>
      </w:r>
      <w:r w:rsidR="002B183C">
        <w:t xml:space="preserve"> Blöcke</w:t>
      </w:r>
      <w:r w:rsidR="00954BD6">
        <w:t xml:space="preserve"> </w:t>
      </w:r>
      <w:r w:rsidR="002B183C">
        <w:t>gebildet</w:t>
      </w:r>
      <w:r w:rsidR="00954BD6">
        <w:t xml:space="preserve"> und die </w:t>
      </w:r>
      <w:r w:rsidR="000817BD">
        <w:t>Linking-</w:t>
      </w:r>
      <w:r w:rsidR="00954BD6">
        <w:t xml:space="preserve">Elemente </w:t>
      </w:r>
      <w:r w:rsidR="002B183C">
        <w:t>separiert werden. I</w:t>
      </w:r>
      <w:r w:rsidR="008401C0">
        <w:t>n</w:t>
      </w:r>
      <w:r w:rsidR="002B183C">
        <w:t xml:space="preserve"> BEAM-ME werden </w:t>
      </w:r>
      <w:r w:rsidR="00320288">
        <w:t xml:space="preserve">das Vorgehen beim </w:t>
      </w:r>
      <w:r w:rsidR="004A5A47">
        <w:t>St</w:t>
      </w:r>
      <w:r w:rsidR="00320288">
        <w:t xml:space="preserve">rukturieren </w:t>
      </w:r>
      <w:r w:rsidR="004A5A47">
        <w:t xml:space="preserve">des </w:t>
      </w:r>
      <w:r w:rsidR="00D5607E">
        <w:t>Modell</w:t>
      </w:r>
      <w:r w:rsidR="004A5A47">
        <w:t>s</w:t>
      </w:r>
      <w:r w:rsidR="000817BD">
        <w:t xml:space="preserve"> - </w:t>
      </w:r>
      <w:r w:rsidR="00320288">
        <w:t xml:space="preserve">die </w:t>
      </w:r>
      <w:r w:rsidR="000817BD">
        <w:t xml:space="preserve">sogenannte </w:t>
      </w:r>
      <w:r w:rsidR="00320288">
        <w:t>Annotation</w:t>
      </w:r>
      <w:r w:rsidR="000817BD">
        <w:t>-</w:t>
      </w:r>
      <w:r w:rsidR="002B183C">
        <w:t xml:space="preserve">, </w:t>
      </w:r>
      <w:r w:rsidR="00320288">
        <w:t xml:space="preserve">ein </w:t>
      </w:r>
      <w:r w:rsidR="002B183C">
        <w:t xml:space="preserve">Löser, der die Blockstruktur ausnutzen kann, </w:t>
      </w:r>
      <w:r w:rsidR="00320288">
        <w:t xml:space="preserve">und die Schnittstelle zum Löser </w:t>
      </w:r>
      <w:r w:rsidR="002B183C">
        <w:t>entwickelt.</w:t>
      </w:r>
      <w:r w:rsidR="004B12E3" w:rsidRPr="004B12E3">
        <w:rPr>
          <w:rFonts w:eastAsia="Calibri"/>
          <w:noProof/>
          <w:sz w:val="16"/>
          <w:szCs w:val="16"/>
        </w:rPr>
        <w:t xml:space="preserve"> </w:t>
      </w:r>
    </w:p>
    <w:p w:rsidR="0012440A" w:rsidRDefault="0012440A" w:rsidP="00707779">
      <w:pPr>
        <w:pStyle w:val="Ueberschrift"/>
      </w:pPr>
    </w:p>
    <w:p w:rsidR="00707779" w:rsidRPr="005E4D4F" w:rsidRDefault="00707779" w:rsidP="00707779">
      <w:pPr>
        <w:pStyle w:val="Ueberschrift"/>
      </w:pPr>
      <w:r w:rsidRPr="005E4D4F">
        <w:t xml:space="preserve">Ergebnisse </w:t>
      </w:r>
    </w:p>
    <w:p w:rsidR="00AC6EBB" w:rsidRPr="00FD354C" w:rsidRDefault="00707779" w:rsidP="00707779">
      <w:r>
        <w:t xml:space="preserve">Abbildung 2 zeigt, wie sich die Rechenzeit zur Lösung der Modellinstanzen mit Hilfe des Lösers CPLEX mit der Anzahl der Variablen verschiedener Modellinstanzen verändert. </w:t>
      </w:r>
      <w:r w:rsidR="00FD354C" w:rsidRPr="00FD354C">
        <w:t xml:space="preserve">Die Rechenzeit wurde auf demselben Rechner gemessen, um eine bessere </w:t>
      </w:r>
      <w:r w:rsidR="00FD354C">
        <w:t xml:space="preserve">relative </w:t>
      </w:r>
      <w:r w:rsidR="00FD354C" w:rsidRPr="00FD354C">
        <w:t xml:space="preserve">Vergleichbarkeit </w:t>
      </w:r>
      <w:r w:rsidR="00FD354C">
        <w:t>zu erreichen</w:t>
      </w:r>
      <w:r w:rsidR="00921B11" w:rsidRPr="00FD354C">
        <w:t>.</w:t>
      </w:r>
    </w:p>
    <w:p w:rsidR="002004A1" w:rsidRDefault="00707779" w:rsidP="00C0271D">
      <w:r>
        <w:lastRenderedPageBreak/>
        <w:t xml:space="preserve">Bei der Annotation zum Zweck der Parallelisierung gilt: je mehr Blöcke, desto besser kann parallelisiert gerechnet werden. Jedoch steigt mit der Anzahl der Blöcke auch die Anzahl der globalen Linking-Elemente (Vertikaler Block über alle Randbedingungen ganz links und horizontaler Block über alle Variablen ganz unten). Ziel ist es, einen optimalen Kompromiss aus Anzahl der Blöcke und Menge an globalen Linking-Elementen zu finden. Abbildung 3 zeigt für das parallelisierte Lösen unterschiedlich gut geeignete Blockstrukturen einer REMix-Instanz. </w:t>
      </w:r>
    </w:p>
    <w:tbl>
      <w:tblPr>
        <w:tblpPr w:leftFromText="142" w:rightFromText="142" w:topFromText="113" w:vertAnchor="text" w:horzAnchor="margin" w:tblpY="131"/>
        <w:tblW w:w="9180" w:type="dxa"/>
        <w:tblBorders>
          <w:insideH w:val="single" w:sz="4" w:space="0" w:color="auto"/>
        </w:tblBorders>
        <w:tblLayout w:type="fixed"/>
        <w:tblLook w:val="04A0" w:firstRow="1" w:lastRow="0" w:firstColumn="1" w:lastColumn="0" w:noHBand="0" w:noVBand="1"/>
      </w:tblPr>
      <w:tblGrid>
        <w:gridCol w:w="4644"/>
        <w:gridCol w:w="4536"/>
      </w:tblGrid>
      <w:tr w:rsidR="00327C97" w:rsidTr="00327C97">
        <w:trPr>
          <w:trHeight w:val="3545"/>
        </w:trPr>
        <w:tc>
          <w:tcPr>
            <w:tcW w:w="4644" w:type="dxa"/>
            <w:shd w:val="clear" w:color="auto" w:fill="auto"/>
          </w:tcPr>
          <w:p w:rsidR="00327C97" w:rsidRPr="00551C22" w:rsidRDefault="00537F5D" w:rsidP="00327C97">
            <w:pPr>
              <w:rPr>
                <w:rFonts w:eastAsia="Calibri"/>
                <w:sz w:val="22"/>
                <w:szCs w:val="22"/>
              </w:rPr>
            </w:pPr>
            <w:r>
              <w:rPr>
                <w:rFonts w:cs="Arial"/>
                <w:b/>
                <w:noProof/>
                <w:kern w:val="28"/>
                <w:sz w:val="32"/>
                <w:szCs w:val="20"/>
                <w:lang w:eastAsia="de-DE"/>
              </w:rPr>
              <w:drawing>
                <wp:inline distT="0" distB="0" distL="0" distR="0">
                  <wp:extent cx="2730500" cy="2070100"/>
                  <wp:effectExtent l="0" t="0" r="0" b="6350"/>
                  <wp:docPr id="2" name="Bild 2" descr="yssp_cplex_time_sc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ssp_cplex_time_scaling"/>
                          <pic:cNvPicPr>
                            <a:picLocks noChangeAspect="1" noChangeArrowheads="1"/>
                          </pic:cNvPicPr>
                        </pic:nvPicPr>
                        <pic:blipFill>
                          <a:blip r:embed="rId9">
                            <a:extLst>
                              <a:ext uri="{28A0092B-C50C-407E-A947-70E740481C1C}">
                                <a14:useLocalDpi xmlns:a14="http://schemas.microsoft.com/office/drawing/2010/main" val="0"/>
                              </a:ext>
                            </a:extLst>
                          </a:blip>
                          <a:srcRect t="6589" r="8612"/>
                          <a:stretch>
                            <a:fillRect/>
                          </a:stretch>
                        </pic:blipFill>
                        <pic:spPr bwMode="auto">
                          <a:xfrm>
                            <a:off x="0" y="0"/>
                            <a:ext cx="2730500" cy="2070100"/>
                          </a:xfrm>
                          <a:prstGeom prst="rect">
                            <a:avLst/>
                          </a:prstGeom>
                          <a:noFill/>
                          <a:ln>
                            <a:noFill/>
                          </a:ln>
                        </pic:spPr>
                      </pic:pic>
                    </a:graphicData>
                  </a:graphic>
                </wp:inline>
              </w:drawing>
            </w:r>
          </w:p>
        </w:tc>
        <w:tc>
          <w:tcPr>
            <w:tcW w:w="4536" w:type="dxa"/>
          </w:tcPr>
          <w:p w:rsidR="00327C97" w:rsidRDefault="00327C97" w:rsidP="00327C97"/>
          <w:p w:rsidR="00327C97" w:rsidRDefault="00327C97" w:rsidP="00327C97">
            <w:pPr>
              <w:pStyle w:val="Abbildungsbeschriftung"/>
              <w:jc w:val="left"/>
            </w:pPr>
            <w:r w:rsidRPr="000817BD">
              <w:t xml:space="preserve">Abbildung </w:t>
            </w:r>
            <w:r>
              <w:t>2</w:t>
            </w:r>
            <w:r w:rsidRPr="000817BD">
              <w:t xml:space="preserve">: </w:t>
            </w:r>
            <w:r>
              <w:t xml:space="preserve">Abhängigkeit der </w:t>
            </w:r>
          </w:p>
          <w:p w:rsidR="00327C97" w:rsidRDefault="00327C97" w:rsidP="00327C97">
            <w:pPr>
              <w:pStyle w:val="Abbildungsbeschriftung"/>
              <w:jc w:val="left"/>
            </w:pPr>
            <w:r>
              <w:t xml:space="preserve">Rechenzeit des Lösers CPLEX </w:t>
            </w:r>
          </w:p>
          <w:p w:rsidR="00327C97" w:rsidRDefault="00327C97" w:rsidP="00327C97">
            <w:pPr>
              <w:pStyle w:val="Abbildungsbeschriftung"/>
              <w:jc w:val="left"/>
            </w:pPr>
            <w:r>
              <w:t>von der Variablen-Anzahl</w:t>
            </w:r>
          </w:p>
          <w:p w:rsidR="00327C97" w:rsidRDefault="00537F5D" w:rsidP="00327C97">
            <w:r>
              <w:rPr>
                <w:noProof/>
                <w:lang w:eastAsia="de-DE"/>
              </w:rPr>
              <mc:AlternateContent>
                <mc:Choice Requires="wps">
                  <w:drawing>
                    <wp:anchor distT="0" distB="0" distL="114300" distR="114300" simplePos="0" relativeHeight="251657216" behindDoc="0" locked="0" layoutInCell="1" allowOverlap="1">
                      <wp:simplePos x="0" y="0"/>
                      <wp:positionH relativeFrom="column">
                        <wp:posOffset>1270</wp:posOffset>
                      </wp:positionH>
                      <wp:positionV relativeFrom="paragraph">
                        <wp:posOffset>94615</wp:posOffset>
                      </wp:positionV>
                      <wp:extent cx="502920" cy="0"/>
                      <wp:effectExtent l="20320" t="56515" r="10160" b="5778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2920" cy="0"/>
                              </a:xfrm>
                              <a:prstGeom prst="straightConnector1">
                                <a:avLst/>
                              </a:prstGeom>
                              <a:noFill/>
                              <a:ln w="9525">
                                <a:solidFill>
                                  <a:srgbClr val="7F7F7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pt;margin-top:7.45pt;width:39.6pt;height:0;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" strokecolor="#7f7f7f">
                      <v:stroke endarrow="block"/>
                    </v:shape>
                  </w:pict>
                </mc:Fallback>
              </mc:AlternateContent>
            </w:r>
          </w:p>
          <w:p w:rsidR="00327C97" w:rsidRDefault="00327C97" w:rsidP="00327C97">
            <w:pPr>
              <w:pStyle w:val="Abbildungsbeschriftung"/>
            </w:pPr>
          </w:p>
          <w:p w:rsidR="00327C97" w:rsidRDefault="00327C97" w:rsidP="00327C97">
            <w:pPr>
              <w:pStyle w:val="Abbildungsbeschriftung"/>
            </w:pPr>
          </w:p>
          <w:p w:rsidR="00327C97" w:rsidRDefault="00327C97" w:rsidP="00327C97">
            <w:pPr>
              <w:pStyle w:val="Abbildungsbeschriftung"/>
              <w:jc w:val="right"/>
            </w:pPr>
            <w:r w:rsidRPr="000817BD">
              <w:t xml:space="preserve">Abbildung </w:t>
            </w:r>
            <w:r>
              <w:t>3</w:t>
            </w:r>
            <w:r w:rsidRPr="000817BD">
              <w:t>: Blockstrukturen einer Instanz des Energiesystemmodells REMix</w:t>
            </w:r>
            <w:r>
              <w:t>.</w:t>
            </w:r>
            <w:r w:rsidRPr="000817BD">
              <w:t xml:space="preserve"> </w:t>
            </w:r>
            <w:r>
              <w:t>x</w:t>
            </w:r>
            <w:r w:rsidRPr="000817BD">
              <w:t xml:space="preserve">-Achse: Variablen, y-Achse: </w:t>
            </w:r>
            <w:r>
              <w:t>Rand</w:t>
            </w:r>
            <w:r w:rsidRPr="000817BD">
              <w:t xml:space="preserve">bedingungen. </w:t>
            </w:r>
          </w:p>
          <w:p w:rsidR="00327C97" w:rsidRPr="00707779" w:rsidRDefault="00537F5D" w:rsidP="00327C97">
            <w:pPr>
              <w:pStyle w:val="Abbildungsbeschriftung"/>
              <w:jc w:val="right"/>
            </w:pPr>
            <w:r>
              <w:rPr>
                <w:noProof/>
                <w:lang w:eastAsia="de-DE"/>
              </w:rPr>
              <mc:AlternateContent>
                <mc:Choice Requires="wps">
                  <w:drawing>
                    <wp:anchor distT="0" distB="0" distL="114300" distR="114300" simplePos="0" relativeHeight="251658240" behindDoc="0" locked="0" layoutInCell="1" allowOverlap="1">
                      <wp:simplePos x="0" y="0"/>
                      <wp:positionH relativeFrom="column">
                        <wp:posOffset>45720</wp:posOffset>
                      </wp:positionH>
                      <wp:positionV relativeFrom="paragraph">
                        <wp:posOffset>99695</wp:posOffset>
                      </wp:positionV>
                      <wp:extent cx="635" cy="459740"/>
                      <wp:effectExtent l="55245" t="13970" r="58420" b="2159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9740"/>
                              </a:xfrm>
                              <a:prstGeom prst="straightConnector1">
                                <a:avLst/>
                              </a:prstGeom>
                              <a:noFill/>
                              <a:ln w="9525">
                                <a:solidFill>
                                  <a:srgbClr val="7F7F7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3.6pt;margin-top:7.85pt;width:.05pt;height:3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" strokecolor="#7f7f7f">
                      <v:stroke endarrow="block"/>
                    </v:shape>
                  </w:pict>
                </mc:Fallback>
              </mc:AlternateContent>
            </w:r>
            <w:r w:rsidR="00327C97">
              <w:t>a</w:t>
            </w:r>
            <w:r w:rsidR="00327C97" w:rsidRPr="000817BD">
              <w:t xml:space="preserve">) wenige Blöcke, ungleich groß </w:t>
            </w:r>
            <w:r w:rsidR="00327C97" w:rsidRPr="000817BD">
              <w:sym w:font="Wingdings" w:char="F0E0"/>
            </w:r>
            <w:r w:rsidR="00327C97" w:rsidRPr="000817BD">
              <w:t xml:space="preserve"> schlechte Parallelisierung,  b) viele Blöcke </w:t>
            </w:r>
            <w:r w:rsidR="00327C97" w:rsidRPr="000817BD">
              <w:sym w:font="Wingdings" w:char="F0E0"/>
            </w:r>
            <w:r w:rsidR="00327C97" w:rsidRPr="000817BD">
              <w:t xml:space="preserve"> zu viele Linking</w:t>
            </w:r>
            <w:r w:rsidR="00327C97">
              <w:t>-</w:t>
            </w:r>
            <w:r w:rsidR="00327C97" w:rsidRPr="000817BD">
              <w:t xml:space="preserve"> </w:t>
            </w:r>
            <w:r w:rsidR="00327C97">
              <w:t>Elemente</w:t>
            </w:r>
            <w:r w:rsidR="00327C97" w:rsidRPr="000817BD">
              <w:t>,</w:t>
            </w:r>
            <w:r w:rsidR="00327C97">
              <w:t xml:space="preserve"> </w:t>
            </w:r>
            <w:r w:rsidR="00327C97" w:rsidRPr="000817BD">
              <w:t>c) guter Kompromiss aus Anzahl Blöcke und Menge</w:t>
            </w:r>
            <w:r w:rsidR="00327C97">
              <w:t xml:space="preserve"> </w:t>
            </w:r>
            <w:r w:rsidR="00327C97" w:rsidRPr="000817BD">
              <w:t>Linking</w:t>
            </w:r>
            <w:r w:rsidR="00327C97">
              <w:t>-Elemente</w:t>
            </w:r>
            <w:r w:rsidR="00327C97" w:rsidRPr="000817BD">
              <w:t>.</w:t>
            </w:r>
          </w:p>
        </w:tc>
      </w:tr>
    </w:tbl>
    <w:p w:rsidR="009F7FEE" w:rsidRPr="009F7FEE" w:rsidRDefault="009F7FEE" w:rsidP="009F7FEE">
      <w:pPr>
        <w:rPr>
          <w:vanish/>
        </w:rPr>
      </w:pPr>
    </w:p>
    <w:tbl>
      <w:tblPr>
        <w:tblW w:w="0" w:type="auto"/>
        <w:tblBorders>
          <w:insideH w:val="single" w:sz="4" w:space="0" w:color="auto"/>
        </w:tblBorders>
        <w:tblLook w:val="04A0" w:firstRow="1" w:lastRow="0" w:firstColumn="1" w:lastColumn="0" w:noHBand="0" w:noVBand="1"/>
      </w:tblPr>
      <w:tblGrid>
        <w:gridCol w:w="3070"/>
        <w:gridCol w:w="3071"/>
        <w:gridCol w:w="3071"/>
      </w:tblGrid>
      <w:tr w:rsidR="00B104A6" w:rsidTr="00550811">
        <w:trPr>
          <w:trHeight w:val="2372"/>
        </w:trPr>
        <w:tc>
          <w:tcPr>
            <w:tcW w:w="3070" w:type="dxa"/>
            <w:shd w:val="clear" w:color="auto" w:fill="auto"/>
          </w:tcPr>
          <w:p w:rsidR="00B104A6" w:rsidRPr="00551C22" w:rsidRDefault="00550811" w:rsidP="00551C22">
            <w:pPr>
              <w:rPr>
                <w:rFonts w:eastAsia="Calibri"/>
                <w:sz w:val="22"/>
                <w:szCs w:val="22"/>
              </w:rPr>
            </w:pPr>
            <w:r>
              <w:rPr>
                <w:rFonts w:eastAsia="Calibri"/>
                <w:sz w:val="22"/>
                <w:szCs w:val="22"/>
              </w:rPr>
              <w:t>a)</w:t>
            </w:r>
            <w:r w:rsidR="00537F5D">
              <w:rPr>
                <w:rFonts w:eastAsia="Calibri"/>
                <w:noProof/>
                <w:sz w:val="22"/>
                <w:szCs w:val="22"/>
                <w:lang w:eastAsia="de-DE"/>
              </w:rPr>
              <w:drawing>
                <wp:inline distT="0" distB="0" distL="0" distR="0">
                  <wp:extent cx="1625600" cy="1333500"/>
                  <wp:effectExtent l="19050" t="19050" r="12700" b="19050"/>
                  <wp:docPr id="3" name="Picture 6" descr="D:\PyCharm\LP-Plotting\AnnotationPlotting\plots\unevenPlo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PyCharm\LP-Plotting\AnnotationPlotting\plots\unevenPlot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5600" cy="1333500"/>
                          </a:xfrm>
                          <a:prstGeom prst="rect">
                            <a:avLst/>
                          </a:prstGeom>
                          <a:noFill/>
                          <a:ln w="9525" cmpd="sng">
                            <a:solidFill>
                              <a:srgbClr val="000000"/>
                            </a:solidFill>
                            <a:miter lim="800000"/>
                            <a:headEnd/>
                            <a:tailEnd/>
                          </a:ln>
                          <a:effectLst/>
                        </pic:spPr>
                      </pic:pic>
                    </a:graphicData>
                  </a:graphic>
                </wp:inline>
              </w:drawing>
            </w:r>
          </w:p>
        </w:tc>
        <w:tc>
          <w:tcPr>
            <w:tcW w:w="3071" w:type="dxa"/>
            <w:shd w:val="clear" w:color="auto" w:fill="auto"/>
          </w:tcPr>
          <w:p w:rsidR="00B104A6" w:rsidRPr="00551C22" w:rsidRDefault="00B104A6" w:rsidP="00551C22">
            <w:pPr>
              <w:rPr>
                <w:rFonts w:eastAsia="Calibri"/>
                <w:sz w:val="22"/>
                <w:szCs w:val="22"/>
              </w:rPr>
            </w:pPr>
            <w:r w:rsidRPr="00551C22">
              <w:rPr>
                <w:rFonts w:eastAsia="Calibri"/>
                <w:sz w:val="22"/>
                <w:szCs w:val="22"/>
              </w:rPr>
              <w:t>b)</w:t>
            </w:r>
            <w:r w:rsidR="00537F5D">
              <w:rPr>
                <w:rFonts w:eastAsia="Calibri"/>
                <w:noProof/>
                <w:sz w:val="22"/>
                <w:szCs w:val="22"/>
                <w:lang w:eastAsia="de-DE"/>
              </w:rPr>
              <w:drawing>
                <wp:inline distT="0" distB="0" distL="0" distR="0">
                  <wp:extent cx="1625600" cy="1333500"/>
                  <wp:effectExtent l="19050" t="19050" r="12700" b="19050"/>
                  <wp:docPr id="4" name="Picture 4" descr="D:\PyCharm\LP-Plotting\AnnotationPlotting\plots\hourlyLink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yCharm\LP-Plotting\AnnotationPlotting\plots\hourlyLink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5600" cy="1333500"/>
                          </a:xfrm>
                          <a:prstGeom prst="rect">
                            <a:avLst/>
                          </a:prstGeom>
                          <a:noFill/>
                          <a:ln w="9525" cmpd="sng">
                            <a:solidFill>
                              <a:srgbClr val="000000"/>
                            </a:solidFill>
                            <a:miter lim="800000"/>
                            <a:headEnd/>
                            <a:tailEnd/>
                          </a:ln>
                          <a:effectLst/>
                        </pic:spPr>
                      </pic:pic>
                    </a:graphicData>
                  </a:graphic>
                </wp:inline>
              </w:drawing>
            </w:r>
          </w:p>
        </w:tc>
        <w:tc>
          <w:tcPr>
            <w:tcW w:w="3071" w:type="dxa"/>
            <w:shd w:val="clear" w:color="auto" w:fill="auto"/>
          </w:tcPr>
          <w:p w:rsidR="00B104A6" w:rsidRPr="00551C22" w:rsidRDefault="00B104A6" w:rsidP="00551C22">
            <w:pPr>
              <w:rPr>
                <w:rFonts w:eastAsia="Calibri"/>
                <w:sz w:val="22"/>
                <w:szCs w:val="22"/>
              </w:rPr>
            </w:pPr>
            <w:r w:rsidRPr="00551C22">
              <w:rPr>
                <w:rFonts w:eastAsia="Calibri"/>
                <w:sz w:val="22"/>
                <w:szCs w:val="22"/>
              </w:rPr>
              <w:t>c)</w:t>
            </w:r>
            <w:r w:rsidR="00537F5D">
              <w:rPr>
                <w:rFonts w:eastAsia="Calibri"/>
                <w:noProof/>
                <w:sz w:val="22"/>
                <w:szCs w:val="22"/>
                <w:lang w:eastAsia="de-DE"/>
              </w:rPr>
              <w:drawing>
                <wp:inline distT="0" distB="0" distL="0" distR="0">
                  <wp:extent cx="1625600" cy="1333500"/>
                  <wp:effectExtent l="19050" t="19050" r="12700" b="19050"/>
                  <wp:docPr id="5" name="Picture 2" descr="D:\PyCharm\LP-Plotting\AnnotationPlotting\plots\p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yCharm\LP-Plotting\AnnotationPlotting\plots\plo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5600" cy="1333500"/>
                          </a:xfrm>
                          <a:prstGeom prst="rect">
                            <a:avLst/>
                          </a:prstGeom>
                          <a:noFill/>
                          <a:ln w="9525" cmpd="sng">
                            <a:solidFill>
                              <a:srgbClr val="000000"/>
                            </a:solidFill>
                            <a:miter lim="800000"/>
                            <a:headEnd/>
                            <a:tailEnd/>
                          </a:ln>
                          <a:effectLst/>
                        </pic:spPr>
                      </pic:pic>
                    </a:graphicData>
                  </a:graphic>
                </wp:inline>
              </w:drawing>
            </w:r>
          </w:p>
        </w:tc>
      </w:tr>
    </w:tbl>
    <w:p w:rsidR="00B529A0" w:rsidRDefault="000817BD" w:rsidP="00227125">
      <w:r>
        <w:t xml:space="preserve">Die </w:t>
      </w:r>
      <w:r w:rsidR="008401C0">
        <w:t xml:space="preserve">auf Hochleistungsrechnern </w:t>
      </w:r>
      <w:r w:rsidR="00B529A0">
        <w:t>erreichb</w:t>
      </w:r>
      <w:r w:rsidR="008401C0">
        <w:t>aren Rechenzeitverkürzungen</w:t>
      </w:r>
      <w:r w:rsidR="00B529A0">
        <w:t>, die am besten geeigneten Blockstrukturen und die Übertragbarkeit auf andere Energiesystemmodelle</w:t>
      </w:r>
      <w:r w:rsidR="008401C0">
        <w:t xml:space="preserve"> werden derzeit im Projekt BEAM-ME </w:t>
      </w:r>
      <w:r w:rsidR="00B529A0">
        <w:t>untersucht.</w:t>
      </w:r>
    </w:p>
    <w:p w:rsidR="00023550" w:rsidRDefault="00023550" w:rsidP="00227125"/>
    <w:p w:rsidR="005E4D4F" w:rsidRPr="00023550" w:rsidRDefault="005E4D4F" w:rsidP="00A156E4">
      <w:pPr>
        <w:pStyle w:val="Ueberschrift"/>
        <w:rPr>
          <w:lang w:val="en-US"/>
        </w:rPr>
      </w:pPr>
      <w:bookmarkStart w:id="1" w:name="_Toc26086066"/>
      <w:bookmarkStart w:id="2" w:name="_Toc68418491"/>
      <w:r w:rsidRPr="00023550">
        <w:rPr>
          <w:lang w:val="en-US"/>
        </w:rPr>
        <w:t>Literatur</w:t>
      </w:r>
      <w:bookmarkEnd w:id="1"/>
      <w:bookmarkEnd w:id="2"/>
    </w:p>
    <w:p w:rsidR="00727320" w:rsidRDefault="00727320" w:rsidP="00727320">
      <w:pPr>
        <w:ind w:left="560" w:hanging="560"/>
        <w:rPr>
          <w:noProof/>
          <w:lang w:val="en-US"/>
        </w:rPr>
      </w:pPr>
      <w:r w:rsidRPr="00317514">
        <w:rPr>
          <w:noProof/>
          <w:lang w:val="en-US"/>
        </w:rPr>
        <w:t>[</w:t>
      </w:r>
      <w:r w:rsidR="00526CEA">
        <w:rPr>
          <w:noProof/>
          <w:lang w:val="en-US"/>
        </w:rPr>
        <w:t>1</w:t>
      </w:r>
      <w:r w:rsidRPr="00317514">
        <w:rPr>
          <w:noProof/>
          <w:lang w:val="en-US"/>
        </w:rPr>
        <w:t>]</w:t>
      </w:r>
      <w:r w:rsidR="00F95B43">
        <w:rPr>
          <w:noProof/>
          <w:lang w:val="en-US"/>
        </w:rPr>
        <w:tab/>
        <w:t>C. Bussar, P. Stoe</w:t>
      </w:r>
      <w:r>
        <w:rPr>
          <w:noProof/>
          <w:lang w:val="en-US"/>
        </w:rPr>
        <w:t xml:space="preserve">cker, Z. Cai, L. M. Jr., D. Magnor, P. Wiernes, N. van Bracht, A. Moser, and D. U. Sauer, “Large-scale integration of renewable energies and impact on storage demand in a European renewable power system of 2050â€”Sensitivity study,” </w:t>
      </w:r>
      <w:r w:rsidRPr="00317514">
        <w:rPr>
          <w:i/>
          <w:noProof/>
          <w:lang w:val="en-US"/>
        </w:rPr>
        <w:t>Journal of Energy Storage</w:t>
      </w:r>
      <w:r>
        <w:rPr>
          <w:noProof/>
          <w:lang w:val="en-US"/>
        </w:rPr>
        <w:t>, vol. 6, pp. 1–10, 2016.</w:t>
      </w:r>
    </w:p>
    <w:p w:rsidR="00023550" w:rsidRPr="00317514" w:rsidRDefault="00023550" w:rsidP="00023550">
      <w:pPr>
        <w:ind w:left="560" w:hanging="560"/>
        <w:rPr>
          <w:noProof/>
          <w:lang w:val="en-US"/>
        </w:rPr>
      </w:pPr>
      <w:r w:rsidRPr="00317514">
        <w:rPr>
          <w:noProof/>
          <w:lang w:val="en-US"/>
        </w:rPr>
        <w:t>[</w:t>
      </w:r>
      <w:r>
        <w:rPr>
          <w:noProof/>
          <w:lang w:val="en-US"/>
        </w:rPr>
        <w:t>2</w:t>
      </w:r>
      <w:r w:rsidRPr="00317514">
        <w:rPr>
          <w:noProof/>
          <w:lang w:val="en-US"/>
        </w:rPr>
        <w:t>]</w:t>
      </w:r>
      <w:r>
        <w:rPr>
          <w:noProof/>
          <w:lang w:val="en-US"/>
        </w:rPr>
        <w:tab/>
        <w:t xml:space="preserve">H. Weigt, T. Jeske, F. Leuthold, and C. von Hirschhausen, “Take the long way down“: Integration of large-scale North Sea wind using HVDC transmission,” </w:t>
      </w:r>
      <w:r w:rsidRPr="00317514">
        <w:rPr>
          <w:i/>
          <w:noProof/>
          <w:lang w:val="en-US"/>
        </w:rPr>
        <w:t>Energy Policy</w:t>
      </w:r>
      <w:r>
        <w:rPr>
          <w:noProof/>
          <w:lang w:val="en-US"/>
        </w:rPr>
        <w:t>, vol. 38, no. 7, pp. 3164–3173, 2010.</w:t>
      </w:r>
    </w:p>
    <w:p w:rsidR="00727320" w:rsidRDefault="00727320" w:rsidP="00526CEA">
      <w:pPr>
        <w:ind w:left="560" w:hanging="560"/>
        <w:rPr>
          <w:noProof/>
          <w:lang w:val="en-US"/>
        </w:rPr>
      </w:pPr>
      <w:r w:rsidRPr="00317514">
        <w:rPr>
          <w:noProof/>
          <w:lang w:val="en-US"/>
        </w:rPr>
        <w:t>[</w:t>
      </w:r>
      <w:r w:rsidR="00526CEA">
        <w:rPr>
          <w:noProof/>
          <w:lang w:val="en-US"/>
        </w:rPr>
        <w:t>3</w:t>
      </w:r>
      <w:r w:rsidRPr="00317514">
        <w:rPr>
          <w:noProof/>
          <w:lang w:val="en-US"/>
        </w:rPr>
        <w:t>]</w:t>
      </w:r>
      <w:r>
        <w:rPr>
          <w:noProof/>
          <w:lang w:val="en-US"/>
        </w:rPr>
        <w:tab/>
        <w:t xml:space="preserve">A. S. Brouwer, M. van den Broek, W. Zappa, W. C. Turkenburg, and A. Faaij, “Least-cost options for integrating intermittent renewables in low-carbon power systems,” </w:t>
      </w:r>
      <w:r w:rsidRPr="00317514">
        <w:rPr>
          <w:i/>
          <w:noProof/>
          <w:lang w:val="en-US"/>
        </w:rPr>
        <w:t>Applied Energy</w:t>
      </w:r>
      <w:r>
        <w:rPr>
          <w:noProof/>
          <w:lang w:val="en-US"/>
        </w:rPr>
        <w:t xml:space="preserve">, </w:t>
      </w:r>
      <w:r w:rsidR="00526CEA">
        <w:rPr>
          <w:noProof/>
          <w:lang w:val="en-US"/>
        </w:rPr>
        <w:t>2007.</w:t>
      </w:r>
      <w:r>
        <w:rPr>
          <w:noProof/>
          <w:lang w:val="en-US"/>
        </w:rPr>
        <w:t>vol. 161, pp. 48–74, 2016.</w:t>
      </w:r>
    </w:p>
    <w:p w:rsidR="00727320" w:rsidRPr="00317514" w:rsidRDefault="00727320" w:rsidP="00526CEA">
      <w:pPr>
        <w:ind w:left="560" w:hanging="560"/>
        <w:rPr>
          <w:noProof/>
          <w:lang w:val="en-US"/>
        </w:rPr>
      </w:pPr>
      <w:r w:rsidRPr="00317514">
        <w:rPr>
          <w:noProof/>
          <w:lang w:val="en-US"/>
        </w:rPr>
        <w:t>[</w:t>
      </w:r>
      <w:r w:rsidR="00526CEA">
        <w:rPr>
          <w:noProof/>
          <w:lang w:val="en-US"/>
        </w:rPr>
        <w:t>4</w:t>
      </w:r>
      <w:r w:rsidRPr="00317514">
        <w:rPr>
          <w:noProof/>
          <w:lang w:val="en-US"/>
        </w:rPr>
        <w:t>]</w:t>
      </w:r>
      <w:r>
        <w:rPr>
          <w:noProof/>
          <w:lang w:val="en-US"/>
        </w:rPr>
        <w:tab/>
        <w:t xml:space="preserve">S. Pfenninger, “Dealing with multiple decades of hourly wind and PV time series in energy models: A comparison of methods to reduce time resolution and the planning implications of inter-annual variability,” </w:t>
      </w:r>
      <w:r w:rsidRPr="00317514">
        <w:rPr>
          <w:i/>
          <w:noProof/>
          <w:lang w:val="en-US"/>
        </w:rPr>
        <w:t>Applied Energy</w:t>
      </w:r>
      <w:r>
        <w:rPr>
          <w:noProof/>
          <w:lang w:val="en-US"/>
        </w:rPr>
        <w:t>, vol. 197, pp. 1–13, 2017.</w:t>
      </w:r>
    </w:p>
    <w:p w:rsidR="00727320" w:rsidRPr="00727320" w:rsidRDefault="00727320" w:rsidP="00526CEA">
      <w:pPr>
        <w:ind w:left="560" w:hanging="560"/>
        <w:rPr>
          <w:noProof/>
          <w:lang w:val="en-US"/>
        </w:rPr>
      </w:pPr>
      <w:r w:rsidRPr="00317514">
        <w:rPr>
          <w:noProof/>
          <w:lang w:val="en-US"/>
        </w:rPr>
        <w:t>[</w:t>
      </w:r>
      <w:r w:rsidR="00526CEA">
        <w:rPr>
          <w:noProof/>
          <w:lang w:val="en-US"/>
        </w:rPr>
        <w:t>5</w:t>
      </w:r>
      <w:r w:rsidRPr="00317514">
        <w:rPr>
          <w:noProof/>
          <w:lang w:val="en-US"/>
        </w:rPr>
        <w:t>]</w:t>
      </w:r>
      <w:r>
        <w:rPr>
          <w:noProof/>
          <w:lang w:val="en-US"/>
        </w:rPr>
        <w:tab/>
        <w:t xml:space="preserve">B. A. Corcoran, N. Jenkins, and M. Z. Jacobson, “Effects of aggregating electric load in the United States,” </w:t>
      </w:r>
      <w:r w:rsidRPr="00317514">
        <w:rPr>
          <w:i/>
          <w:noProof/>
          <w:lang w:val="en-US"/>
        </w:rPr>
        <w:t>Energy Policy</w:t>
      </w:r>
      <w:r>
        <w:rPr>
          <w:noProof/>
          <w:lang w:val="en-US"/>
        </w:rPr>
        <w:t>, vol. 46, pp. 399–416, 2012.</w:t>
      </w:r>
    </w:p>
    <w:p w:rsidR="005E4D4F" w:rsidRDefault="00727320" w:rsidP="00526CEA">
      <w:pPr>
        <w:ind w:left="560" w:hanging="560"/>
        <w:rPr>
          <w:noProof/>
          <w:lang w:val="en-US"/>
        </w:rPr>
      </w:pPr>
      <w:r w:rsidRPr="00317514">
        <w:rPr>
          <w:noProof/>
          <w:lang w:val="en-US"/>
        </w:rPr>
        <w:t>[</w:t>
      </w:r>
      <w:r w:rsidR="00526CEA">
        <w:rPr>
          <w:noProof/>
          <w:lang w:val="en-US"/>
        </w:rPr>
        <w:t>6</w:t>
      </w:r>
      <w:r w:rsidRPr="00317514">
        <w:rPr>
          <w:noProof/>
          <w:lang w:val="en-US"/>
        </w:rPr>
        <w:t>]</w:t>
      </w:r>
      <w:r>
        <w:rPr>
          <w:noProof/>
          <w:lang w:val="en-US"/>
        </w:rPr>
        <w:tab/>
        <w:t xml:space="preserve">F. Cebulla and T. Fichter, “Merit order or unit-commitment: How does thermal power plant modeling affect storage demand in energy system models?,” </w:t>
      </w:r>
      <w:r w:rsidRPr="00317514">
        <w:rPr>
          <w:i/>
          <w:noProof/>
          <w:lang w:val="en-US"/>
        </w:rPr>
        <w:t>Renewable Energy</w:t>
      </w:r>
      <w:r>
        <w:rPr>
          <w:noProof/>
          <w:lang w:val="en-US"/>
        </w:rPr>
        <w:t>, vol. 105, pp. 117–132, May 2017.</w:t>
      </w:r>
    </w:p>
    <w:p w:rsidR="00727320" w:rsidRPr="00317514" w:rsidRDefault="00727320" w:rsidP="00727320">
      <w:pPr>
        <w:ind w:left="560" w:hanging="560"/>
        <w:rPr>
          <w:noProof/>
          <w:lang w:val="en-US"/>
        </w:rPr>
      </w:pPr>
      <w:r w:rsidRPr="00317514">
        <w:rPr>
          <w:noProof/>
          <w:lang w:val="en-US"/>
        </w:rPr>
        <w:t>[</w:t>
      </w:r>
      <w:r w:rsidR="00526CEA">
        <w:rPr>
          <w:noProof/>
          <w:lang w:val="en-US"/>
        </w:rPr>
        <w:t>7</w:t>
      </w:r>
      <w:r w:rsidRPr="00317514">
        <w:rPr>
          <w:noProof/>
          <w:lang w:val="en-US"/>
        </w:rPr>
        <w:t>]</w:t>
      </w:r>
      <w:r>
        <w:rPr>
          <w:noProof/>
          <w:lang w:val="en-US"/>
        </w:rPr>
        <w:tab/>
        <w:t xml:space="preserve">A. Tuohy, E. Denny, and M. O’Malley, “Rolling Unit Commitment for Systems with Significant Installed Wind Capacity,” </w:t>
      </w:r>
      <w:r w:rsidRPr="00317514">
        <w:rPr>
          <w:i/>
          <w:noProof/>
          <w:lang w:val="en-US"/>
        </w:rPr>
        <w:t>2007 IEEE Lausanne Power Tech</w:t>
      </w:r>
      <w:r>
        <w:rPr>
          <w:noProof/>
          <w:lang w:val="en-US"/>
        </w:rPr>
        <w:t>, pp. 1380–1385, Jul. 2007.</w:t>
      </w:r>
    </w:p>
    <w:p w:rsidR="00727320" w:rsidRPr="00727320" w:rsidRDefault="00727320" w:rsidP="00233AD5">
      <w:pPr>
        <w:pStyle w:val="Literatur"/>
        <w:ind w:left="0" w:firstLine="0"/>
        <w:rPr>
          <w:lang w:val="en-US"/>
        </w:rPr>
      </w:pPr>
    </w:p>
    <w:sectPr w:rsidR="00727320" w:rsidRPr="007273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A62" w:rsidRDefault="00A64A62">
      <w:r>
        <w:separator/>
      </w:r>
    </w:p>
  </w:endnote>
  <w:endnote w:type="continuationSeparator" w:id="0">
    <w:p w:rsidR="00A64A62" w:rsidRDefault="00A64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A62" w:rsidRDefault="00A64A62">
      <w:r>
        <w:separator/>
      </w:r>
    </w:p>
  </w:footnote>
  <w:footnote w:type="continuationSeparator" w:id="0">
    <w:p w:rsidR="00A64A62" w:rsidRDefault="00A64A62">
      <w:r>
        <w:continuationSeparator/>
      </w:r>
    </w:p>
  </w:footnote>
  <w:footnote w:id="1">
    <w:p w:rsidR="00D53E86" w:rsidRDefault="00D53E86" w:rsidP="002C1F81">
      <w:pPr>
        <w:jc w:val="left"/>
      </w:pPr>
      <w:r w:rsidRPr="00A115D2">
        <w:rPr>
          <w:rStyle w:val="Funotenzeichen"/>
        </w:rPr>
        <w:footnoteRef/>
      </w:r>
      <w:r w:rsidRPr="00D53E86">
        <w:t xml:space="preserve"> </w:t>
      </w:r>
      <w:r w:rsidR="00346479">
        <w:t>Pfaffenwaldring</w:t>
      </w:r>
      <w:r w:rsidR="002C1F81">
        <w:t> </w:t>
      </w:r>
      <w:r w:rsidR="00346479">
        <w:t>38-40, 70569</w:t>
      </w:r>
      <w:r w:rsidR="002C1F81">
        <w:t> </w:t>
      </w:r>
      <w:r w:rsidR="00346479">
        <w:t>Stuttgart</w:t>
      </w:r>
      <w:r w:rsidR="00E520E6">
        <w:t xml:space="preserve">, </w:t>
      </w:r>
      <w:r w:rsidR="002C1F81">
        <w:t>+</w:t>
      </w:r>
      <w:r w:rsidR="002C1F81" w:rsidRPr="002C1F81">
        <w:t>49</w:t>
      </w:r>
      <w:r w:rsidR="002C1F81">
        <w:t> (0) </w:t>
      </w:r>
      <w:r w:rsidR="00346479" w:rsidRPr="002C1F81">
        <w:t>711</w:t>
      </w:r>
      <w:r w:rsidR="002C1F81">
        <w:t> </w:t>
      </w:r>
      <w:r w:rsidR="00346479">
        <w:t>682</w:t>
      </w:r>
      <w:r w:rsidR="002C1F81">
        <w:noBreakHyphen/>
      </w:r>
      <w:r w:rsidR="00346479">
        <w:t>296</w:t>
      </w:r>
      <w:r w:rsidR="00A6148D">
        <w:t>,</w:t>
      </w:r>
      <w:r w:rsidR="00FD5D56">
        <w:t xml:space="preserve"> </w:t>
      </w:r>
      <w:r w:rsidR="00346479">
        <w:t>yvonne.scholz@dlr.de</w:t>
      </w:r>
      <w:r>
        <w:t xml:space="preserve">, </w:t>
      </w:r>
      <w:hyperlink r:id="rId1" w:history="1">
        <w:r w:rsidR="00346479" w:rsidRPr="006D2D31">
          <w:rPr>
            <w:rStyle w:val="Hyperlink"/>
          </w:rPr>
          <w:t>https://www.dlr.de/tt/desktopdefault.aspx/tabid-4074/6449_read-12245/sortby-lastname/</w:t>
        </w:r>
      </w:hyperlink>
      <w:r w:rsidR="00346479">
        <w:t xml:space="preserve"> </w:t>
      </w:r>
    </w:p>
    <w:p w:rsidR="00F105CF" w:rsidRPr="00FB69AE" w:rsidRDefault="00F105CF" w:rsidP="002C1F81">
      <w:pPr>
        <w:jc w:val="left"/>
      </w:pPr>
      <w:r>
        <w:t>*current affiliation: Innogy 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5071F"/>
    <w:multiLevelType w:val="multilevel"/>
    <w:tmpl w:val="0978BA90"/>
    <w:numStyleLink w:val="Aufzhlung"/>
  </w:abstractNum>
  <w:abstractNum w:abstractNumId="1">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55D75967"/>
    <w:multiLevelType w:val="multilevel"/>
    <w:tmpl w:val="0978BA90"/>
    <w:numStyleLink w:val="Aufzhlung"/>
  </w:abstractNum>
  <w:abstractNum w:abstractNumId="3">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D4F"/>
    <w:rsid w:val="00010E92"/>
    <w:rsid w:val="00023550"/>
    <w:rsid w:val="00023FBF"/>
    <w:rsid w:val="000817BD"/>
    <w:rsid w:val="000A2700"/>
    <w:rsid w:val="000E7E53"/>
    <w:rsid w:val="00122E0E"/>
    <w:rsid w:val="0012440A"/>
    <w:rsid w:val="001321A7"/>
    <w:rsid w:val="00176C4C"/>
    <w:rsid w:val="00187B10"/>
    <w:rsid w:val="002004A1"/>
    <w:rsid w:val="002014D3"/>
    <w:rsid w:val="00227125"/>
    <w:rsid w:val="00227E5B"/>
    <w:rsid w:val="00230D78"/>
    <w:rsid w:val="00233AD5"/>
    <w:rsid w:val="00255696"/>
    <w:rsid w:val="00262FD5"/>
    <w:rsid w:val="00286F53"/>
    <w:rsid w:val="002946B8"/>
    <w:rsid w:val="002B183C"/>
    <w:rsid w:val="002B19E3"/>
    <w:rsid w:val="002C1F81"/>
    <w:rsid w:val="002D510F"/>
    <w:rsid w:val="002E624B"/>
    <w:rsid w:val="00304E7A"/>
    <w:rsid w:val="00320288"/>
    <w:rsid w:val="00327C97"/>
    <w:rsid w:val="00346479"/>
    <w:rsid w:val="00350F98"/>
    <w:rsid w:val="003B676F"/>
    <w:rsid w:val="003C28FE"/>
    <w:rsid w:val="003C557A"/>
    <w:rsid w:val="003E4D5E"/>
    <w:rsid w:val="004033D2"/>
    <w:rsid w:val="00405125"/>
    <w:rsid w:val="004129EC"/>
    <w:rsid w:val="00483B87"/>
    <w:rsid w:val="004A33C9"/>
    <w:rsid w:val="004A5A47"/>
    <w:rsid w:val="004A5D19"/>
    <w:rsid w:val="004B12E3"/>
    <w:rsid w:val="004D40FC"/>
    <w:rsid w:val="00526CEA"/>
    <w:rsid w:val="00537F5D"/>
    <w:rsid w:val="00550811"/>
    <w:rsid w:val="00551C22"/>
    <w:rsid w:val="00563F0C"/>
    <w:rsid w:val="005768A0"/>
    <w:rsid w:val="005772BA"/>
    <w:rsid w:val="005B1ADB"/>
    <w:rsid w:val="005E4D4F"/>
    <w:rsid w:val="006019FD"/>
    <w:rsid w:val="00603BC7"/>
    <w:rsid w:val="006348AD"/>
    <w:rsid w:val="006368C3"/>
    <w:rsid w:val="00640739"/>
    <w:rsid w:val="006636A5"/>
    <w:rsid w:val="00673B0E"/>
    <w:rsid w:val="006A4A28"/>
    <w:rsid w:val="006E5AA2"/>
    <w:rsid w:val="00707779"/>
    <w:rsid w:val="0072376D"/>
    <w:rsid w:val="00727320"/>
    <w:rsid w:val="007378C8"/>
    <w:rsid w:val="00741EC0"/>
    <w:rsid w:val="00803917"/>
    <w:rsid w:val="008401C0"/>
    <w:rsid w:val="00860DED"/>
    <w:rsid w:val="00907E82"/>
    <w:rsid w:val="00921B11"/>
    <w:rsid w:val="009328F6"/>
    <w:rsid w:val="00954BD6"/>
    <w:rsid w:val="00974BF3"/>
    <w:rsid w:val="009A0DD3"/>
    <w:rsid w:val="009C3D4B"/>
    <w:rsid w:val="009D5261"/>
    <w:rsid w:val="009F7FEE"/>
    <w:rsid w:val="00A07737"/>
    <w:rsid w:val="00A156E4"/>
    <w:rsid w:val="00A32785"/>
    <w:rsid w:val="00A42082"/>
    <w:rsid w:val="00A6148D"/>
    <w:rsid w:val="00A62E78"/>
    <w:rsid w:val="00A64A62"/>
    <w:rsid w:val="00AC6EBB"/>
    <w:rsid w:val="00AD530E"/>
    <w:rsid w:val="00AE7957"/>
    <w:rsid w:val="00B104A6"/>
    <w:rsid w:val="00B272D9"/>
    <w:rsid w:val="00B529A0"/>
    <w:rsid w:val="00BD0B8E"/>
    <w:rsid w:val="00BF05FA"/>
    <w:rsid w:val="00C0271D"/>
    <w:rsid w:val="00CA7D1F"/>
    <w:rsid w:val="00CB06B3"/>
    <w:rsid w:val="00CB37C1"/>
    <w:rsid w:val="00CE1A70"/>
    <w:rsid w:val="00D53E86"/>
    <w:rsid w:val="00D5607E"/>
    <w:rsid w:val="00D736F8"/>
    <w:rsid w:val="00DA763A"/>
    <w:rsid w:val="00DD498E"/>
    <w:rsid w:val="00DE30D9"/>
    <w:rsid w:val="00E0044A"/>
    <w:rsid w:val="00E36A4C"/>
    <w:rsid w:val="00E520E6"/>
    <w:rsid w:val="00E82972"/>
    <w:rsid w:val="00E84E81"/>
    <w:rsid w:val="00E97362"/>
    <w:rsid w:val="00F105CF"/>
    <w:rsid w:val="00F31547"/>
    <w:rsid w:val="00F95B43"/>
    <w:rsid w:val="00FB1003"/>
    <w:rsid w:val="00FB69AE"/>
    <w:rsid w:val="00FC08BD"/>
    <w:rsid w:val="00FD354C"/>
    <w:rsid w:val="00FD5D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27125"/>
    <w:pPr>
      <w:jc w:val="both"/>
    </w:pPr>
    <w:rPr>
      <w:rFonts w:ascii="Arial" w:hAnsi="Arial"/>
      <w:szCs w:val="24"/>
      <w:lang w:eastAsia="ko-KR"/>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styleId="Hyperlink">
    <w:name w:val="Hyperlink"/>
    <w:uiPriority w:val="99"/>
    <w:unhideWhenUsed/>
    <w:rsid w:val="00346479"/>
    <w:rPr>
      <w:color w:val="0000FF"/>
      <w:u w:val="singl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table" w:styleId="Tabellenraster">
    <w:name w:val="Table Grid"/>
    <w:basedOn w:val="NormaleTabelle"/>
    <w:uiPriority w:val="59"/>
    <w:unhideWhenUsed/>
    <w:rsid w:val="006E5A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6E5AA2"/>
    <w:pPr>
      <w:spacing w:after="200"/>
      <w:jc w:val="left"/>
    </w:pPr>
    <w:rPr>
      <w:rFonts w:ascii="Calibri" w:eastAsia="Calibri" w:hAnsi="Calibri"/>
      <w:b/>
      <w:bCs/>
      <w:color w:val="4F81BD"/>
      <w:sz w:val="18"/>
      <w:szCs w:val="18"/>
      <w:lang w:eastAsia="en-US"/>
    </w:rPr>
  </w:style>
  <w:style w:type="paragraph" w:customStyle="1" w:styleId="Literatur">
    <w:name w:val="Literatur"/>
    <w:basedOn w:val="Standard"/>
    <w:rsid w:val="005E4D4F"/>
    <w:pPr>
      <w:ind w:left="284" w:hanging="284"/>
    </w:pPr>
    <w:rPr>
      <w:rFonts w:cs="Arial"/>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27125"/>
    <w:pPr>
      <w:jc w:val="both"/>
    </w:pPr>
    <w:rPr>
      <w:rFonts w:ascii="Arial" w:hAnsi="Arial"/>
      <w:szCs w:val="24"/>
      <w:lang w:eastAsia="ko-KR"/>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styleId="Hyperlink">
    <w:name w:val="Hyperlink"/>
    <w:uiPriority w:val="99"/>
    <w:unhideWhenUsed/>
    <w:rsid w:val="00346479"/>
    <w:rPr>
      <w:color w:val="0000FF"/>
      <w:u w:val="singl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table" w:styleId="Tabellenraster">
    <w:name w:val="Table Grid"/>
    <w:basedOn w:val="NormaleTabelle"/>
    <w:uiPriority w:val="59"/>
    <w:unhideWhenUsed/>
    <w:rsid w:val="006E5A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6E5AA2"/>
    <w:pPr>
      <w:spacing w:after="200"/>
      <w:jc w:val="left"/>
    </w:pPr>
    <w:rPr>
      <w:rFonts w:ascii="Calibri" w:eastAsia="Calibri" w:hAnsi="Calibri"/>
      <w:b/>
      <w:bCs/>
      <w:color w:val="4F81BD"/>
      <w:sz w:val="18"/>
      <w:szCs w:val="18"/>
      <w:lang w:eastAsia="en-US"/>
    </w:rPr>
  </w:style>
  <w:style w:type="paragraph" w:customStyle="1" w:styleId="Literatur">
    <w:name w:val="Literatur"/>
    <w:basedOn w:val="Standard"/>
    <w:rsid w:val="005E4D4F"/>
    <w:pPr>
      <w:ind w:left="284" w:hanging="284"/>
    </w:pPr>
    <w:rPr>
      <w:rFonts w:cs="Arial"/>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lr.de/tt/desktopdefault.aspx/tabid-4074/6449_read-12245/sortby-lastnam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816</Words>
  <Characters>5144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5949</CharactersWithSpaces>
  <SharedDoc>false</SharedDoc>
  <HLinks>
    <vt:vector size="6" baseType="variant">
      <vt:variant>
        <vt:i4>8126477</vt:i4>
      </vt:variant>
      <vt:variant>
        <vt:i4>0</vt:i4>
      </vt:variant>
      <vt:variant>
        <vt:i4>0</vt:i4>
      </vt:variant>
      <vt:variant>
        <vt:i4>5</vt:i4>
      </vt:variant>
      <vt:variant>
        <vt:lpwstr>https://www.dlr.de/tt/desktopdefault.aspx/tabid-4074/6449_read-12245/sortby-lastname/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Gerald</dc:creator>
  <cp:lastModifiedBy>Krbek, Kai von</cp:lastModifiedBy>
  <cp:revision>2</cp:revision>
  <dcterms:created xsi:type="dcterms:W3CDTF">2018-11-07T16:25:00Z</dcterms:created>
  <dcterms:modified xsi:type="dcterms:W3CDTF">2018-11-07T16:25:00Z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ies>
</file>