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5A" w:rsidRPr="00F844B1" w:rsidRDefault="0092016A" w:rsidP="00F844B1">
      <w:pPr>
        <w:pStyle w:val="Abstract-Titel"/>
      </w:pPr>
      <w:r w:rsidRPr="00F844B1">
        <w:t>Identifizierung des „Efficiency-Gaps“ durch Kopplung e</w:t>
      </w:r>
      <w:r w:rsidRPr="00F844B1">
        <w:t>i</w:t>
      </w:r>
      <w:r w:rsidRPr="00F844B1">
        <w:t>ne</w:t>
      </w:r>
      <w:r w:rsidR="002A66FB" w:rsidRPr="00F844B1">
        <w:t>s</w:t>
      </w:r>
      <w:r w:rsidRPr="00F844B1">
        <w:t xml:space="preserve"> linearen Optimierungs- und agentenbasierten Modells</w:t>
      </w:r>
    </w:p>
    <w:p w:rsidR="00BF05FA" w:rsidRDefault="00F844B1" w:rsidP="0008365A">
      <w:pPr>
        <w:pStyle w:val="AutorenOrganisation"/>
      </w:pPr>
      <w:r>
        <w:t>Modellierung</w:t>
      </w:r>
    </w:p>
    <w:p w:rsidR="002B0FFF" w:rsidRDefault="0079601F" w:rsidP="00A156E4">
      <w:pPr>
        <w:pStyle w:val="AutorenOrganisation"/>
      </w:pPr>
      <w:r w:rsidRPr="0079601F">
        <w:t>Matthias</w:t>
      </w:r>
      <w:r w:rsidR="005E4D4F" w:rsidRPr="0079601F">
        <w:t xml:space="preserve"> </w:t>
      </w:r>
      <w:r w:rsidRPr="0079601F">
        <w:t>REEG</w:t>
      </w:r>
      <w:r w:rsidR="005E4D4F" w:rsidRPr="00010E92">
        <w:rPr>
          <w:vertAlign w:val="superscript"/>
        </w:rPr>
        <w:footnoteReference w:id="1"/>
      </w:r>
      <w:r w:rsidR="00A156E4" w:rsidRPr="0079601F">
        <w:rPr>
          <w:vertAlign w:val="superscript"/>
        </w:rPr>
        <w:t>(1)</w:t>
      </w:r>
      <w:r w:rsidR="005E4D4F" w:rsidRPr="0079601F">
        <w:t xml:space="preserve">, </w:t>
      </w:r>
      <w:r w:rsidRPr="0079601F">
        <w:t>Marc</w:t>
      </w:r>
      <w:r w:rsidR="00010E92" w:rsidRPr="0079601F">
        <w:t xml:space="preserve"> </w:t>
      </w:r>
      <w:r w:rsidRPr="0079601F">
        <w:t>DEISSENROTH</w:t>
      </w:r>
      <w:r w:rsidR="00A156E4" w:rsidRPr="0079601F">
        <w:rPr>
          <w:vertAlign w:val="superscript"/>
        </w:rPr>
        <w:t>(</w:t>
      </w:r>
      <w:r w:rsidRPr="0079601F">
        <w:rPr>
          <w:vertAlign w:val="superscript"/>
        </w:rPr>
        <w:t>1</w:t>
      </w:r>
      <w:r w:rsidR="00A156E4" w:rsidRPr="0079601F">
        <w:rPr>
          <w:vertAlign w:val="superscript"/>
        </w:rPr>
        <w:t>)</w:t>
      </w:r>
      <w:r w:rsidRPr="0079601F">
        <w:t>, Christoph SCHIMECZEK</w:t>
      </w:r>
      <w:r w:rsidRPr="00A156E4">
        <w:rPr>
          <w:vertAlign w:val="superscript"/>
        </w:rPr>
        <w:t>(</w:t>
      </w:r>
      <w:r>
        <w:rPr>
          <w:vertAlign w:val="superscript"/>
        </w:rPr>
        <w:t>1)</w:t>
      </w:r>
      <w:r w:rsidRPr="0079601F">
        <w:t xml:space="preserve">, </w:t>
      </w:r>
    </w:p>
    <w:p w:rsidR="005E4D4F" w:rsidRPr="002A66FB" w:rsidRDefault="002A66FB" w:rsidP="00A156E4">
      <w:pPr>
        <w:pStyle w:val="AutorenOrganisation"/>
      </w:pPr>
      <w:r>
        <w:t>Benjamin FLEISCHER</w:t>
      </w:r>
      <w:r w:rsidRPr="002A66FB">
        <w:rPr>
          <w:vertAlign w:val="superscript"/>
        </w:rPr>
        <w:t>(2)</w:t>
      </w:r>
      <w:r>
        <w:t xml:space="preserve">, </w:t>
      </w:r>
      <w:r w:rsidR="0079601F" w:rsidRPr="002A66FB">
        <w:t>Felix GUTHOFF</w:t>
      </w:r>
      <w:r w:rsidR="0079601F" w:rsidRPr="002A66FB">
        <w:rPr>
          <w:vertAlign w:val="superscript"/>
        </w:rPr>
        <w:t>(2)</w:t>
      </w:r>
      <w:r>
        <w:t xml:space="preserve">, </w:t>
      </w:r>
      <w:r w:rsidR="00BE4783" w:rsidRPr="002A66FB">
        <w:t>Georgios SAVV</w:t>
      </w:r>
      <w:r w:rsidR="00BE4783" w:rsidRPr="002A66FB">
        <w:t>I</w:t>
      </w:r>
      <w:r w:rsidR="00BE4783" w:rsidRPr="002A66FB">
        <w:t>DIS</w:t>
      </w:r>
      <w:r w:rsidR="00BE4783" w:rsidRPr="002A66FB">
        <w:rPr>
          <w:vertAlign w:val="superscript"/>
        </w:rPr>
        <w:t>(2)</w:t>
      </w:r>
      <w:r w:rsidR="00BE4783">
        <w:rPr>
          <w:vertAlign w:val="subscript"/>
        </w:rPr>
        <w:t xml:space="preserve">, </w:t>
      </w:r>
      <w:r>
        <w:t>Laura TORRALBA</w:t>
      </w:r>
      <w:r w:rsidR="00BE4783">
        <w:t>-DIAZ</w:t>
      </w:r>
      <w:r w:rsidR="0079601F" w:rsidRPr="002A66FB">
        <w:rPr>
          <w:vertAlign w:val="superscript"/>
        </w:rPr>
        <w:t>(2)</w:t>
      </w:r>
      <w:r w:rsidR="0079601F" w:rsidRPr="002A66FB">
        <w:t xml:space="preserve"> </w:t>
      </w:r>
    </w:p>
    <w:p w:rsidR="002B0FFF" w:rsidRDefault="00A156E4" w:rsidP="005E4D4F">
      <w:pPr>
        <w:pStyle w:val="AutorenOrganisation"/>
      </w:pPr>
      <w:r>
        <w:rPr>
          <w:vertAlign w:val="superscript"/>
        </w:rPr>
        <w:t>(</w:t>
      </w:r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79601F">
        <w:t>DLR-Institut für Technische Thermodynamik - Energiesystemanalyse</w:t>
      </w:r>
      <w:r w:rsidR="00010E92">
        <w:t xml:space="preserve">, </w:t>
      </w:r>
    </w:p>
    <w:p w:rsidR="005E4D4F" w:rsidRDefault="00A156E4" w:rsidP="005E4D4F">
      <w:pPr>
        <w:pStyle w:val="AutorenOrganisation"/>
      </w:pPr>
      <w:r w:rsidRPr="00A156E4">
        <w:rPr>
          <w:vertAlign w:val="superscript"/>
        </w:rPr>
        <w:t>(</w:t>
      </w:r>
      <w:r w:rsidR="00010E92" w:rsidRPr="00010E92">
        <w:rPr>
          <w:vertAlign w:val="superscript"/>
        </w:rPr>
        <w:t>2</w:t>
      </w:r>
      <w:r>
        <w:rPr>
          <w:vertAlign w:val="superscript"/>
        </w:rPr>
        <w:t>)</w:t>
      </w:r>
      <w:r w:rsidR="0079601F">
        <w:t>Universität Stuttgart, Institut für Energiewirtschaft und Rationelle Energieanwendung</w:t>
      </w:r>
    </w:p>
    <w:p w:rsidR="00A07737" w:rsidRPr="005E4D4F" w:rsidRDefault="00A07737" w:rsidP="00FB69AE">
      <w:pPr>
        <w:rPr>
          <w:lang w:val="de-AT"/>
        </w:rPr>
      </w:pPr>
    </w:p>
    <w:p w:rsidR="005E4D4F" w:rsidRDefault="005E4D4F" w:rsidP="005E4D4F">
      <w:pPr>
        <w:pStyle w:val="Ueberschrift"/>
      </w:pPr>
      <w:r w:rsidRPr="005E4D4F">
        <w:t>Motivation und zentrale Fragestellung</w:t>
      </w:r>
    </w:p>
    <w:p w:rsidR="005E4D4F" w:rsidRPr="005E4D4F" w:rsidRDefault="00F325CB" w:rsidP="005A7ECA">
      <w:pPr>
        <w:outlineLvl w:val="0"/>
      </w:pPr>
      <w:r>
        <w:t>Zur effektiven Steuerung der Transformation des Energiesystems müssen nicht nur optimale Zielz</w:t>
      </w:r>
      <w:r>
        <w:t>u</w:t>
      </w:r>
      <w:r>
        <w:t>stände identifiziert werden, sondern auch die Pfade, die zur Erreichung dieser Zielzustände notwendig sind.</w:t>
      </w:r>
      <w:r w:rsidRPr="00304C27">
        <w:t xml:space="preserve"> </w:t>
      </w:r>
      <w:r>
        <w:t xml:space="preserve">Die für die Ermittlung von optimalen Zielzuständen </w:t>
      </w:r>
      <w:r w:rsidR="00F4089B">
        <w:t xml:space="preserve">häufig </w:t>
      </w:r>
      <w:r>
        <w:t>herangezogene</w:t>
      </w:r>
      <w:r w:rsidR="00F4089B">
        <w:t>n</w:t>
      </w:r>
      <w:r>
        <w:t xml:space="preserve"> linearen Optimi</w:t>
      </w:r>
      <w:r>
        <w:t>e</w:t>
      </w:r>
      <w:r w:rsidR="00D248FB">
        <w:t>rungsmodelle</w:t>
      </w:r>
      <w:r>
        <w:t xml:space="preserve"> </w:t>
      </w:r>
      <w:r w:rsidR="00F4089B">
        <w:t>sind</w:t>
      </w:r>
      <w:r>
        <w:t xml:space="preserve"> zwar prinzipiell in der Lage, ein volkswirtschaftlich optimales Energiesystem zu </w:t>
      </w:r>
      <w:r w:rsidR="00137EEB">
        <w:t>konfigurieren</w:t>
      </w:r>
      <w:r>
        <w:t xml:space="preserve">, </w:t>
      </w:r>
      <w:r w:rsidR="00F4089B">
        <w:t>jedoch zeigt sich in der Praxis häufig eine eklatante Differenz zwischen dem optimalen und dem realen Systemzustand. Dies ist auf den sog. „Efficiency-Gap“</w:t>
      </w:r>
      <w:r w:rsidR="003348CD">
        <w:t xml:space="preserve"> zurückzuführen, </w:t>
      </w:r>
      <w:r w:rsidR="003348CD" w:rsidRPr="003348CD">
        <w:t>der sich zw</w:t>
      </w:r>
      <w:r w:rsidR="003348CD" w:rsidRPr="003348CD">
        <w:t>i</w:t>
      </w:r>
      <w:r w:rsidR="003348CD" w:rsidRPr="003348CD">
        <w:t>schen volkswirtschaftlichen systemoptimalen und akteursspezifischen betriebswirtschaftlichen Verha</w:t>
      </w:r>
      <w:r w:rsidR="003348CD" w:rsidRPr="003348CD">
        <w:t>l</w:t>
      </w:r>
      <w:r w:rsidR="003348CD" w:rsidRPr="003348CD">
        <w:t>ten aufspannt</w:t>
      </w:r>
      <w:r w:rsidR="003348CD">
        <w:t xml:space="preserve">. </w:t>
      </w:r>
      <w:r w:rsidR="00D248FB">
        <w:t>Agentenbasierte Modelle</w:t>
      </w:r>
      <w:r>
        <w:t xml:space="preserve"> hingegen können das Entscheidungsverhalten einzelner Marktteilnehmer</w:t>
      </w:r>
      <w:r w:rsidRPr="00E4344B">
        <w:t xml:space="preserve"> </w:t>
      </w:r>
      <w:r>
        <w:t>berücksichtigen, welches beispielweise durch unvollkommene Informationen sowie Gewinnstreben</w:t>
      </w:r>
      <w:r w:rsidR="003348CD">
        <w:t xml:space="preserve"> und Verzerrungen durch Förderregime</w:t>
      </w:r>
      <w:r>
        <w:t xml:space="preserve"> geprägt ist</w:t>
      </w:r>
      <w:r w:rsidR="003348CD">
        <w:t xml:space="preserve">. </w:t>
      </w:r>
      <w:r>
        <w:t>Durch Kopplung d</w:t>
      </w:r>
      <w:r w:rsidR="0092016A">
        <w:t>ieser</w:t>
      </w:r>
      <w:r>
        <w:t xml:space="preserve"> be</w:t>
      </w:r>
      <w:r>
        <w:t>i</w:t>
      </w:r>
      <w:r>
        <w:t xml:space="preserve">den Modellklassen kann </w:t>
      </w:r>
      <w:r w:rsidR="0092016A">
        <w:t xml:space="preserve">der </w:t>
      </w:r>
      <w:r w:rsidR="003D0739">
        <w:t>Efficiency-Gap erstmals detailliert analysiert werden</w:t>
      </w:r>
      <w:r>
        <w:t>. Im Rahmen des Proje</w:t>
      </w:r>
      <w:r>
        <w:t>k</w:t>
      </w:r>
      <w:r>
        <w:t>tes</w:t>
      </w:r>
      <w:r w:rsidR="00D248FB">
        <w:t xml:space="preserve"> ERAFlex</w:t>
      </w:r>
      <w:r>
        <w:t xml:space="preserve"> wird eine solche Modellkopplung erarbeitet und exemplarisch zur Untersuchung von Fl</w:t>
      </w:r>
      <w:r>
        <w:t>e</w:t>
      </w:r>
      <w:r>
        <w:t>xibilitätsoptionen im Elektrizitätssektor angewendet</w:t>
      </w:r>
      <w:r w:rsidR="00D248FB">
        <w:t xml:space="preserve"> [1]</w:t>
      </w:r>
      <w:r>
        <w:t>.</w:t>
      </w:r>
    </w:p>
    <w:p w:rsidR="0009191B" w:rsidRPr="005E4D4F" w:rsidRDefault="005E4D4F" w:rsidP="0009191B">
      <w:pPr>
        <w:pStyle w:val="Ueberschrift"/>
      </w:pPr>
      <w:r w:rsidRPr="005E4D4F">
        <w:t>Methodische Vorgangsweise</w:t>
      </w:r>
    </w:p>
    <w:p w:rsidR="0009191B" w:rsidRDefault="00FD2474" w:rsidP="003D073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112.85pt;margin-top:291pt;width:340.6pt;height:25.85pt;z-index:251655168" wrapcoords="-48 0 -48 20160 21600 20160 21600 0 -48 0" stroked="f">
            <v:textbox inset="0,0,0,0">
              <w:txbxContent>
                <w:p w:rsidR="005A7ECA" w:rsidRPr="00D07315" w:rsidRDefault="005A7ECA" w:rsidP="00B36603">
                  <w:pPr>
                    <w:pStyle w:val="Abbildungsbeschriftung"/>
                    <w:rPr>
                      <w:sz w:val="18"/>
                    </w:rPr>
                  </w:pPr>
                  <w:r w:rsidRPr="00D07315">
                    <w:rPr>
                      <w:sz w:val="18"/>
                    </w:rPr>
                    <w:t>Abbildung 1: Kopplungsschema des Optimierungsmodells E2M2 und Agentenm</w:t>
                  </w:r>
                  <w:r w:rsidRPr="00D07315">
                    <w:rPr>
                      <w:sz w:val="18"/>
                    </w:rPr>
                    <w:t>o</w:t>
                  </w:r>
                  <w:r w:rsidRPr="00D07315">
                    <w:rPr>
                      <w:sz w:val="18"/>
                    </w:rPr>
                    <w:t>dells AMIRIS vgl. [</w:t>
                  </w:r>
                  <w:r>
                    <w:rPr>
                      <w:sz w:val="18"/>
                    </w:rPr>
                    <w:t>3</w:t>
                  </w:r>
                  <w:r w:rsidRPr="00D07315">
                    <w:rPr>
                      <w:sz w:val="18"/>
                    </w:rPr>
                    <w:t>]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4" type="#_x0000_t75" style="position:absolute;left:0;text-align:left;margin-left:112.85pt;margin-top:110.45pt;width:340.6pt;height:180.55pt;z-index:-251655168" wrapcoords="-48 0 -48 21152 21600 21152 21600 0 -48 0">
            <v:imagedata r:id="rId8" o:title=""/>
            <w10:wrap type="tight"/>
          </v:shape>
        </w:pict>
      </w:r>
      <w:r w:rsidR="003D0739" w:rsidRPr="006603FB">
        <w:t>Das Elektrizitätsmarktmodell</w:t>
      </w:r>
      <w:r w:rsidR="003D0739">
        <w:t xml:space="preserve"> „E2M2“ [</w:t>
      </w:r>
      <w:r w:rsidR="00D248FB">
        <w:t>2</w:t>
      </w:r>
      <w:r w:rsidR="003D0739">
        <w:t>] ermittelt den Zubau und Einsatz konventioneller sowie erne</w:t>
      </w:r>
      <w:r w:rsidR="003D0739">
        <w:t>u</w:t>
      </w:r>
      <w:r w:rsidR="003D0739">
        <w:t xml:space="preserve">erbarer Kraftwerkskapazitäten sowie den Einsatz </w:t>
      </w:r>
      <w:r w:rsidR="00AB3306">
        <w:t>notwendiger</w:t>
      </w:r>
      <w:r w:rsidR="003D0739">
        <w:t xml:space="preserve"> </w:t>
      </w:r>
      <w:r w:rsidR="00AB3306">
        <w:t>Flexibil</w:t>
      </w:r>
      <w:r w:rsidR="00AB3306">
        <w:t>i</w:t>
      </w:r>
      <w:r w:rsidR="00AB3306">
        <w:t>tätsoptionen (z. B.</w:t>
      </w:r>
      <w:r w:rsidR="003D0739">
        <w:t xml:space="preserve"> </w:t>
      </w:r>
      <w:r w:rsidR="00AB3306">
        <w:t xml:space="preserve">Speicher, </w:t>
      </w:r>
      <w:r w:rsidR="003D0739">
        <w:t>Abregelung</w:t>
      </w:r>
      <w:r w:rsidR="00AB3306">
        <w:t xml:space="preserve"> von fluktuierenden </w:t>
      </w:r>
      <w:r w:rsidR="00D248FB">
        <w:t>Erneuerbaren Ene</w:t>
      </w:r>
      <w:r w:rsidR="00D248FB">
        <w:t>r</w:t>
      </w:r>
      <w:r w:rsidR="00D248FB">
        <w:t>gien</w:t>
      </w:r>
      <w:r>
        <w:t xml:space="preserve"> oder flexible </w:t>
      </w:r>
      <w:r w:rsidR="001F3ABE">
        <w:t xml:space="preserve">Biomasseanlagen) </w:t>
      </w:r>
      <w:r w:rsidR="003D0739">
        <w:t>mittels linearer Optimierung</w:t>
      </w:r>
      <w:r w:rsidR="001F3ABE">
        <w:t xml:space="preserve"> unter geg</w:t>
      </w:r>
      <w:r w:rsidR="001F3ABE">
        <w:t>e</w:t>
      </w:r>
      <w:r w:rsidR="001F3ABE">
        <w:t>benen Restriktionen wie EE-Anteile und CO</w:t>
      </w:r>
      <w:r w:rsidR="001F3ABE" w:rsidRPr="001F3ABE">
        <w:rPr>
          <w:vertAlign w:val="subscript"/>
        </w:rPr>
        <w:t>2</w:t>
      </w:r>
      <w:r w:rsidR="001F3ABE">
        <w:t>-Caps in stündlicher Auflösung</w:t>
      </w:r>
      <w:r w:rsidR="003D0739">
        <w:t>. Hierfür werden sowohl betriebswirtschaftliche Parameter (z. B. Investitions</w:t>
      </w:r>
      <w:r w:rsidR="001F3ABE">
        <w:t>-</w:t>
      </w:r>
      <w:r w:rsidR="003D0739">
        <w:t xml:space="preserve"> und Betriebskosten) als auch technische Parameter (z. B. Mindestlei</w:t>
      </w:r>
      <w:r w:rsidR="003D0739">
        <w:t>s</w:t>
      </w:r>
      <w:r w:rsidR="003D0739">
        <w:t xml:space="preserve">tungen und lastabhängige Brennstoffverbräuche) der Kraftwerke berücksichtigt. Im Gegensatz zu E2M2 simuliert das </w:t>
      </w:r>
      <w:r w:rsidR="001F3ABE">
        <w:t>a</w:t>
      </w:r>
      <w:r w:rsidR="003D0739">
        <w:t>genten</w:t>
      </w:r>
      <w:r w:rsidR="001F3ABE">
        <w:t>basierte Modell</w:t>
      </w:r>
      <w:r w:rsidR="003D0739">
        <w:t xml:space="preserve"> </w:t>
      </w:r>
      <w:r w:rsidR="00D248FB">
        <w:t>„</w:t>
      </w:r>
      <w:r w:rsidR="001F3ABE">
        <w:t>AMIRIS</w:t>
      </w:r>
      <w:r w:rsidR="00D248FB">
        <w:t>“</w:t>
      </w:r>
      <w:r w:rsidR="003D0739">
        <w:t xml:space="preserve"> [</w:t>
      </w:r>
      <w:r w:rsidR="00D248FB">
        <w:t>3</w:t>
      </w:r>
      <w:r w:rsidR="003D0739">
        <w:t xml:space="preserve">] die Vermarktung von Strom aus </w:t>
      </w:r>
      <w:r w:rsidR="00D248FB">
        <w:t>erneuerbaren Energien</w:t>
      </w:r>
      <w:r w:rsidR="001F3ABE">
        <w:t xml:space="preserve"> </w:t>
      </w:r>
      <w:r w:rsidR="003D0739">
        <w:t>unter verschiedenen regulatorischen Ra</w:t>
      </w:r>
      <w:r w:rsidR="003D0739">
        <w:t>h</w:t>
      </w:r>
      <w:r w:rsidR="003D0739">
        <w:t>menbedingungen</w:t>
      </w:r>
      <w:r w:rsidR="001F3ABE">
        <w:t xml:space="preserve"> und akteursspezif</w:t>
      </w:r>
      <w:r w:rsidR="001F3ABE">
        <w:t>i</w:t>
      </w:r>
      <w:r w:rsidR="001F3ABE">
        <w:t xml:space="preserve">schen </w:t>
      </w:r>
      <w:r w:rsidR="0009191B">
        <w:t>Strategien und Restriktionen</w:t>
      </w:r>
      <w:r w:rsidR="003D0739">
        <w:t>.</w:t>
      </w:r>
      <w:r w:rsidR="003D0739" w:rsidRPr="00FD4FDB">
        <w:t xml:space="preserve"> </w:t>
      </w:r>
      <w:r w:rsidR="003D0739">
        <w:t xml:space="preserve">Im Simulationsmodell sind die relevanten Akteure </w:t>
      </w:r>
      <w:r>
        <w:t xml:space="preserve">– z.B. </w:t>
      </w:r>
      <w:r w:rsidR="003D0739">
        <w:t>die Direktve</w:t>
      </w:r>
      <w:r w:rsidR="003D0739">
        <w:t>r</w:t>
      </w:r>
      <w:r w:rsidR="003D0739">
        <w:t>markter sowie die B</w:t>
      </w:r>
      <w:r w:rsidR="003D0739">
        <w:t>e</w:t>
      </w:r>
      <w:r w:rsidR="003D0739">
        <w:t>treiber der Erneuerb</w:t>
      </w:r>
      <w:r w:rsidR="003D0739">
        <w:t>a</w:t>
      </w:r>
      <w:r w:rsidR="003D0739">
        <w:t xml:space="preserve">ren-Energien-Anlagen </w:t>
      </w:r>
      <w:r>
        <w:t xml:space="preserve">- </w:t>
      </w:r>
      <w:r w:rsidR="003D0739">
        <w:t>als Ag</w:t>
      </w:r>
      <w:r w:rsidR="0009191B">
        <w:t>enten protot</w:t>
      </w:r>
      <w:r w:rsidR="0009191B">
        <w:t>y</w:t>
      </w:r>
      <w:r w:rsidR="0009191B">
        <w:t>pisiert abgebildet</w:t>
      </w:r>
      <w:r w:rsidR="003D0739">
        <w:t xml:space="preserve">. Im </w:t>
      </w:r>
      <w:r w:rsidR="0009191B">
        <w:t xml:space="preserve">Unterschied </w:t>
      </w:r>
      <w:r w:rsidR="003D0739">
        <w:t>zu E2M2 existiert keine überg</w:t>
      </w:r>
      <w:r w:rsidR="003D0739">
        <w:t>e</w:t>
      </w:r>
      <w:r w:rsidR="003D0739">
        <w:t>ordn</w:t>
      </w:r>
      <w:r w:rsidR="003D0739">
        <w:t>e</w:t>
      </w:r>
      <w:r w:rsidR="003D0739">
        <w:t>te Zielfunktion. Stattdessen</w:t>
      </w:r>
      <w:r w:rsidR="003D0739" w:rsidRPr="00FD4FDB">
        <w:t xml:space="preserve"> </w:t>
      </w:r>
      <w:r w:rsidR="003D0739">
        <w:t>ergibt sich das Simulationserge</w:t>
      </w:r>
      <w:r w:rsidR="003D0739">
        <w:t>b</w:t>
      </w:r>
      <w:r w:rsidR="003D0739">
        <w:t>nis aus dem Zusa</w:t>
      </w:r>
      <w:r w:rsidR="003D0739">
        <w:t>m</w:t>
      </w:r>
      <w:r w:rsidR="003D0739">
        <w:t>menspiel der Handlu</w:t>
      </w:r>
      <w:r w:rsidR="003D0739">
        <w:t>n</w:t>
      </w:r>
      <w:r w:rsidR="003D0739">
        <w:t>gen der einzel</w:t>
      </w:r>
      <w:r>
        <w:t xml:space="preserve">nen </w:t>
      </w:r>
      <w:r w:rsidR="003D0739">
        <w:t>Agenten unter ausg</w:t>
      </w:r>
      <w:r w:rsidR="003D0739">
        <w:t>e</w:t>
      </w:r>
      <w:r w:rsidR="003D0739">
        <w:t>wählten regulator</w:t>
      </w:r>
      <w:r w:rsidR="003D0739">
        <w:t>i</w:t>
      </w:r>
      <w:r w:rsidR="003D0739">
        <w:t>schen Rahmenbedi</w:t>
      </w:r>
      <w:r w:rsidR="003D0739">
        <w:t>n</w:t>
      </w:r>
      <w:r w:rsidR="003D0739">
        <w:t>gungen.</w:t>
      </w:r>
    </w:p>
    <w:p w:rsidR="003E23AA" w:rsidRDefault="0009191B" w:rsidP="0009191B">
      <w:r>
        <w:t xml:space="preserve">Das </w:t>
      </w:r>
      <w:r w:rsidR="00B36603">
        <w:t>M</w:t>
      </w:r>
      <w:r>
        <w:t xml:space="preserve">odellkopplungskonzept zeigt </w:t>
      </w:r>
      <w:r w:rsidR="00B36603">
        <w:t>Abbildung 1</w:t>
      </w:r>
      <w:r>
        <w:t xml:space="preserve">: E2M2 bestimmt </w:t>
      </w:r>
      <w:r w:rsidR="003E23AA">
        <w:t xml:space="preserve">in einem ersten Lauf den </w:t>
      </w:r>
      <w:r>
        <w:t>kosteno</w:t>
      </w:r>
      <w:r>
        <w:t>p</w:t>
      </w:r>
      <w:r>
        <w:t>timal</w:t>
      </w:r>
      <w:r w:rsidR="003E23AA">
        <w:t>en</w:t>
      </w:r>
      <w:r>
        <w:t xml:space="preserve"> Kraftwerkspark, </w:t>
      </w:r>
      <w:r w:rsidR="003E23AA">
        <w:t xml:space="preserve">der </w:t>
      </w:r>
      <w:r>
        <w:t xml:space="preserve">dem vorher gesetzten energiepolitischen </w:t>
      </w:r>
      <w:r w:rsidR="003E23AA">
        <w:t xml:space="preserve">Zielszenario </w:t>
      </w:r>
      <w:r>
        <w:t>(CO</w:t>
      </w:r>
      <w:r w:rsidRPr="00897D11">
        <w:rPr>
          <w:vertAlign w:val="subscript"/>
        </w:rPr>
        <w:t>2</w:t>
      </w:r>
      <w:r>
        <w:t xml:space="preserve">-Emissionen </w:t>
      </w:r>
      <w:r>
        <w:lastRenderedPageBreak/>
        <w:t>und Anteil erneuerbarer Energien) g</w:t>
      </w:r>
      <w:r>
        <w:t>e</w:t>
      </w:r>
      <w:r>
        <w:t xml:space="preserve">nügt. </w:t>
      </w:r>
      <w:r w:rsidR="00DA4F22">
        <w:t>Die resultierenden CO</w:t>
      </w:r>
      <w:r w:rsidR="00DA4F22" w:rsidRPr="00BC50BE">
        <w:rPr>
          <w:vertAlign w:val="subscript"/>
        </w:rPr>
        <w:t>2</w:t>
      </w:r>
      <w:r w:rsidR="00DA4F22">
        <w:t xml:space="preserve">-Preise sowie der Kraftwerkspark werden an AMIRIS übergeben. </w:t>
      </w:r>
      <w:r w:rsidR="003E23AA">
        <w:t>In einem zweiten Lauf wird in E2M2 der stündlich au</w:t>
      </w:r>
      <w:r w:rsidR="003E23AA">
        <w:t>f</w:t>
      </w:r>
      <w:r w:rsidR="003E23AA">
        <w:t xml:space="preserve">gelöste Dispatch der Anlagen über ein Jahr berechnet, um die Strompreise </w:t>
      </w:r>
      <w:r w:rsidR="00DA4F22">
        <w:t>des System</w:t>
      </w:r>
      <w:r w:rsidR="00372926">
        <w:t>s</w:t>
      </w:r>
      <w:r w:rsidR="00DA4F22">
        <w:t xml:space="preserve"> </w:t>
      </w:r>
      <w:r w:rsidR="003E23AA">
        <w:t>zu besti</w:t>
      </w:r>
      <w:r w:rsidR="003E23AA">
        <w:t>m</w:t>
      </w:r>
      <w:r w:rsidR="003E23AA">
        <w:t>men.</w:t>
      </w:r>
      <w:r w:rsidR="00DA4F22">
        <w:t xml:space="preserve"> Anschließend erfolgt die ebenfalls stündlich aufgelöste Simulation de</w:t>
      </w:r>
      <w:r w:rsidR="00372926">
        <w:t>r</w:t>
      </w:r>
      <w:r w:rsidR="00DA4F22">
        <w:t xml:space="preserve"> Merit-Order in AMIRIS zur Besti</w:t>
      </w:r>
      <w:r w:rsidR="00DA4F22">
        <w:t>m</w:t>
      </w:r>
      <w:r w:rsidR="00DA4F22">
        <w:t>mung der Börsenpreise.</w:t>
      </w:r>
    </w:p>
    <w:p w:rsidR="00DA4F22" w:rsidRDefault="00DA4F22" w:rsidP="0009191B">
      <w:r>
        <w:t>In einem ersten Schritt wurde</w:t>
      </w:r>
      <w:r w:rsidR="00747E07">
        <w:t>n</w:t>
      </w:r>
      <w:r>
        <w:t xml:space="preserve"> </w:t>
      </w:r>
      <w:r w:rsidR="00747E07">
        <w:t>die Modellierungskonzepte für den Kraftwerkseinsatz, den Einsatz flexibler Biomasseanlagen, den Im- und Export, die Abregelung der EE sowie den Speichereinsatz harmonisiert, um eine bestmögliche Angleichung der Strompreise zu erreichen.</w:t>
      </w:r>
    </w:p>
    <w:p w:rsidR="005E4D4F" w:rsidRDefault="005A7ECA" w:rsidP="004C00F0">
      <w:pPr>
        <w:pStyle w:val="Ueberschrift"/>
      </w:pPr>
      <w:r>
        <w:rPr>
          <w:noProof/>
        </w:rPr>
        <w:pict>
          <v:shape id="_x0000_s1081" type="#_x0000_t202" style="position:absolute;left:0;text-align:left;margin-left:229.8pt;margin-top:163.55pt;width:226.75pt;height:24.45pt;z-index:251658240" wrapcoords="-72 0 -72 20800 21600 20800 21600 0 -72 0" stroked="f">
            <v:textbox style="mso-next-textbox:#_x0000_s1081" inset="0,0,0,0">
              <w:txbxContent>
                <w:p w:rsidR="005A7ECA" w:rsidRPr="00D07315" w:rsidRDefault="005A7ECA" w:rsidP="00D07315">
                  <w:pPr>
                    <w:pStyle w:val="Abbildungsbeschriftung"/>
                    <w:rPr>
                      <w:noProof/>
                      <w:sz w:val="18"/>
                    </w:rPr>
                  </w:pPr>
                  <w:r w:rsidRPr="00D07315">
                    <w:rPr>
                      <w:sz w:val="18"/>
                    </w:rPr>
                    <w:t>Abbildung 2: Börsenpreise bei bestmöglich harmonisie</w:t>
                  </w:r>
                  <w:r w:rsidRPr="00D07315">
                    <w:rPr>
                      <w:sz w:val="18"/>
                    </w:rPr>
                    <w:t>r</w:t>
                  </w:r>
                  <w:r w:rsidRPr="00D07315">
                    <w:rPr>
                      <w:sz w:val="18"/>
                    </w:rPr>
                    <w:t>ten Modellen.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74" type="#_x0000_t75" style="position:absolute;left:0;text-align:left;margin-left:232.05pt;margin-top:14.9pt;width:226.75pt;height:149.25pt;z-index:-251662336" wrapcoords="-82 0 -82 21476 21600 21476 21600 0 -82 0">
            <v:imagedata r:id="rId9" o:title=""/>
            <w10:wrap type="tight"/>
          </v:shape>
        </w:pict>
      </w:r>
      <w:r w:rsidR="005E4D4F" w:rsidRPr="005E4D4F">
        <w:t>Ergebnisse und Schlussfolgerungen</w:t>
      </w:r>
    </w:p>
    <w:p w:rsidR="003D0739" w:rsidRDefault="00DC4466" w:rsidP="003D0739">
      <w:pPr>
        <w:outlineLvl w:val="0"/>
      </w:pPr>
      <w:r>
        <w:t>Nach erfolg</w:t>
      </w:r>
      <w:r w:rsidR="00FD2474">
        <w:t>ter</w:t>
      </w:r>
      <w:r>
        <w:t xml:space="preserve"> Harmonisierung der Modelle kann nun der „Efficiency-Gap“ wieder geöffnet we</w:t>
      </w:r>
      <w:r>
        <w:t>r</w:t>
      </w:r>
      <w:r>
        <w:t>den, um die unterschiedlichen Effekte</w:t>
      </w:r>
      <w:r w:rsidR="00336DA1">
        <w:t>,</w:t>
      </w:r>
      <w:r>
        <w:t xml:space="preserve"> die </w:t>
      </w:r>
      <w:r w:rsidR="005A7ECA">
        <w:t xml:space="preserve">zu </w:t>
      </w:r>
      <w:r>
        <w:t>eine</w:t>
      </w:r>
      <w:r w:rsidR="005A7ECA">
        <w:t>r</w:t>
      </w:r>
      <w:r>
        <w:t xml:space="preserve"> Diskrepanz zwischen optimalen und </w:t>
      </w:r>
      <w:r w:rsidR="005A7ECA">
        <w:t>„</w:t>
      </w:r>
      <w:r>
        <w:t>realen</w:t>
      </w:r>
      <w:r w:rsidR="005A7ECA">
        <w:t>“</w:t>
      </w:r>
      <w:r>
        <w:t xml:space="preserve"> Sy</w:t>
      </w:r>
      <w:r>
        <w:t>s</w:t>
      </w:r>
      <w:r>
        <w:t>tem führen</w:t>
      </w:r>
      <w:r w:rsidR="005A7ECA">
        <w:t>,</w:t>
      </w:r>
      <w:r>
        <w:t xml:space="preserve"> zu quantifizieren. </w:t>
      </w:r>
      <w:r w:rsidR="003D0739" w:rsidRPr="003348CD">
        <w:t xml:space="preserve">Dabei </w:t>
      </w:r>
      <w:r w:rsidR="00EE7436">
        <w:t xml:space="preserve">können </w:t>
      </w:r>
      <w:r w:rsidR="003D0739" w:rsidRPr="003348CD">
        <w:t>d</w:t>
      </w:r>
      <w:r w:rsidR="00EE7436">
        <w:t>ie</w:t>
      </w:r>
      <w:r w:rsidR="003D0739" w:rsidRPr="003348CD">
        <w:t xml:space="preserve"> </w:t>
      </w:r>
      <w:r w:rsidR="00EE7436">
        <w:t xml:space="preserve">auftretenden </w:t>
      </w:r>
      <w:r w:rsidR="00DD0111">
        <w:t>D</w:t>
      </w:r>
      <w:r w:rsidR="00EE7436">
        <w:t>iskrepanzen</w:t>
      </w:r>
      <w:r w:rsidR="003D0739" w:rsidRPr="003348CD">
        <w:t xml:space="preserve"> </w:t>
      </w:r>
      <w:r w:rsidR="00DD0111">
        <w:t>in den Modellerge</w:t>
      </w:r>
      <w:r w:rsidR="00DD0111">
        <w:t>b</w:t>
      </w:r>
      <w:r w:rsidR="00DD0111">
        <w:t xml:space="preserve">nissen </w:t>
      </w:r>
      <w:r w:rsidR="003D0739" w:rsidRPr="003348CD">
        <w:t>in drei Effekte unter</w:t>
      </w:r>
      <w:r>
        <w:t>teilt</w:t>
      </w:r>
      <w:r w:rsidR="003D0739" w:rsidRPr="003348CD">
        <w:t xml:space="preserve"> werden: </w:t>
      </w:r>
      <w:r w:rsidR="005A7ECA">
        <w:t>i</w:t>
      </w:r>
      <w:r w:rsidR="003D0739" w:rsidRPr="003348CD">
        <w:t>) meth</w:t>
      </w:r>
      <w:r w:rsidR="003D0739" w:rsidRPr="003348CD">
        <w:t>o</w:t>
      </w:r>
      <w:r w:rsidR="003D0739" w:rsidRPr="003348CD">
        <w:t>dische Unterschiede der Modellierun</w:t>
      </w:r>
      <w:r w:rsidR="00112AFB">
        <w:t>gsparadi</w:t>
      </w:r>
      <w:r w:rsidR="00112AFB">
        <w:t>g</w:t>
      </w:r>
      <w:r w:rsidR="00112AFB">
        <w:t xml:space="preserve">men, </w:t>
      </w:r>
      <w:r w:rsidR="005A7ECA">
        <w:t>ii</w:t>
      </w:r>
      <w:r w:rsidR="00112AFB">
        <w:t xml:space="preserve">) </w:t>
      </w:r>
      <w:r w:rsidR="005A7ECA">
        <w:t>n</w:t>
      </w:r>
      <w:r w:rsidR="003F50C4" w:rsidRPr="003348CD">
        <w:t>icht-perfekt</w:t>
      </w:r>
      <w:r w:rsidR="003F50C4">
        <w:t xml:space="preserve">e Voraussicht </w:t>
      </w:r>
      <w:r w:rsidR="005A7ECA">
        <w:t>bzw. B</w:t>
      </w:r>
      <w:r w:rsidR="005A7ECA">
        <w:t>e</w:t>
      </w:r>
      <w:r w:rsidR="005A7ECA">
        <w:t xml:space="preserve">triebskalkül </w:t>
      </w:r>
      <w:r w:rsidR="003F50C4">
        <w:t>auf A</w:t>
      </w:r>
      <w:r w:rsidR="003F50C4">
        <w:t>k</w:t>
      </w:r>
      <w:r w:rsidR="003F50C4">
        <w:t xml:space="preserve">teursebene </w:t>
      </w:r>
      <w:r w:rsidR="003D0739" w:rsidRPr="003348CD">
        <w:t xml:space="preserve">und </w:t>
      </w:r>
      <w:r w:rsidR="005A7ECA">
        <w:t>iii</w:t>
      </w:r>
      <w:r w:rsidR="003D0739" w:rsidRPr="003348CD">
        <w:t xml:space="preserve">) </w:t>
      </w:r>
      <w:r w:rsidR="003F50C4">
        <w:t>Dispatch-</w:t>
      </w:r>
      <w:r w:rsidR="003F50C4" w:rsidRPr="003348CD">
        <w:t>Verzerrungen durch regulatorische Rahmenb</w:t>
      </w:r>
      <w:r w:rsidR="003F50C4" w:rsidRPr="003348CD">
        <w:t>e</w:t>
      </w:r>
      <w:r w:rsidR="005A7ECA">
        <w:t>dingungen.</w:t>
      </w:r>
    </w:p>
    <w:p w:rsidR="00B36603" w:rsidRDefault="00F202FD" w:rsidP="00227125">
      <w:r>
        <w:rPr>
          <w:noProof/>
          <w:lang w:eastAsia="de-DE"/>
        </w:rPr>
        <w:pict>
          <v:shape id="_x0000_s1079" type="#_x0000_t75" style="position:absolute;left:0;text-align:left;margin-left:-3.7pt;margin-top:25.8pt;width:226.75pt;height:149.2pt;z-index:-251660288" wrapcoords="-107 0 -107 21436 21600 21436 21600 0 -107 0">
            <v:imagedata r:id="rId10" o:title=""/>
            <w10:wrap type="tight"/>
          </v:shape>
        </w:pict>
      </w:r>
      <w:r w:rsidR="004C00F0">
        <w:t xml:space="preserve">In </w:t>
      </w:r>
      <w:r w:rsidR="003F50C4">
        <w:t xml:space="preserve">Abbildung 2 </w:t>
      </w:r>
      <w:r w:rsidR="004C00F0">
        <w:t xml:space="preserve">sieht man die </w:t>
      </w:r>
      <w:r w:rsidR="004C00F0" w:rsidRPr="00F2596E">
        <w:t>Harmonisierung der Ergebnisse ohne Energies</w:t>
      </w:r>
      <w:r w:rsidR="004C00F0">
        <w:t>peicher und nach A</w:t>
      </w:r>
      <w:r w:rsidR="004C00F0">
        <w:t>n</w:t>
      </w:r>
      <w:r w:rsidR="004C00F0">
        <w:t xml:space="preserve">passung der </w:t>
      </w:r>
      <w:r w:rsidR="004C00F0" w:rsidRPr="00F2596E">
        <w:t>regulatorischen Rahmenbedingu</w:t>
      </w:r>
      <w:r w:rsidR="004C00F0" w:rsidRPr="00F2596E">
        <w:t>n</w:t>
      </w:r>
      <w:r w:rsidR="004C00F0" w:rsidRPr="00F2596E">
        <w:t>gen und exogener Input-Parameter.</w:t>
      </w:r>
      <w:r w:rsidR="004C00F0">
        <w:t xml:space="preserve"> Es sind nur noch minimale Abweichungen beim Börsenpreis erkennbar</w:t>
      </w:r>
      <w:r w:rsidR="00D84550">
        <w:t xml:space="preserve">, </w:t>
      </w:r>
      <w:r w:rsidR="00BB1209">
        <w:t>die</w:t>
      </w:r>
      <w:r w:rsidR="00D84550">
        <w:t xml:space="preserve"> im Rahmen der numerischen G</w:t>
      </w:r>
      <w:r w:rsidR="00D84550">
        <w:t>e</w:t>
      </w:r>
      <w:r w:rsidR="00D84550">
        <w:t>nauigkeit beider Modelle liegen.</w:t>
      </w:r>
      <w:r w:rsidR="00800E71">
        <w:t xml:space="preserve"> </w:t>
      </w:r>
    </w:p>
    <w:p w:rsidR="00800E71" w:rsidRDefault="008060C5" w:rsidP="00B36603">
      <w:r>
        <w:rPr>
          <w:noProof/>
        </w:rPr>
        <w:pict>
          <v:shape id="_x0000_s1080" type="#_x0000_t75" style="position:absolute;left:0;text-align:left;margin-left:1.3pt;margin-top:92.4pt;width:226.8pt;height:150pt;z-index:-251659264" wrapcoords="-72 0 -72 21492 21600 21492 21600 0 -72 0">
            <v:imagedata r:id="rId11" o:title=""/>
            <w10:wrap type="tight"/>
          </v:shape>
        </w:pict>
      </w:r>
      <w:r>
        <w:rPr>
          <w:noProof/>
        </w:rPr>
        <w:pict>
          <v:shape id="_x0000_s1083" type="#_x0000_t202" style="position:absolute;left:0;text-align:left;margin-left:1.65pt;margin-top:241.2pt;width:226.8pt;height:20.7pt;z-index:251660288" wrapcoords="-72 0 -72 20800 21600 20800 21600 0 -72 0" stroked="f">
            <v:textbox style="mso-fit-shape-to-text:t" inset="0,0,0,0">
              <w:txbxContent>
                <w:p w:rsidR="005A7ECA" w:rsidRPr="00165686" w:rsidRDefault="005A7ECA" w:rsidP="00165686">
                  <w:pPr>
                    <w:pStyle w:val="Abbildungsbeschriftung"/>
                    <w:rPr>
                      <w:sz w:val="18"/>
                    </w:rPr>
                  </w:pPr>
                  <w:r w:rsidRPr="00165686">
                    <w:rPr>
                      <w:sz w:val="18"/>
                    </w:rPr>
                    <w:t>Abbildung 4: Abhängig vom Förderregime werde wen</w:t>
                  </w:r>
                  <w:r w:rsidRPr="00165686">
                    <w:rPr>
                      <w:sz w:val="18"/>
                    </w:rPr>
                    <w:t>i</w:t>
                  </w:r>
                  <w:r w:rsidRPr="00165686">
                    <w:rPr>
                      <w:sz w:val="18"/>
                    </w:rPr>
                    <w:t xml:space="preserve">ger EE marktgetrieben </w:t>
                  </w:r>
                  <w:r w:rsidR="00F202FD">
                    <w:rPr>
                      <w:sz w:val="18"/>
                    </w:rPr>
                    <w:t>a</w:t>
                  </w:r>
                  <w:r w:rsidRPr="00165686">
                    <w:rPr>
                      <w:sz w:val="18"/>
                    </w:rPr>
                    <w:t>bgeregelt.</w:t>
                  </w:r>
                </w:p>
              </w:txbxContent>
            </v:textbox>
            <w10:wrap type="tight"/>
          </v:shape>
        </w:pict>
      </w:r>
      <w:r w:rsidR="00F202FD">
        <w:rPr>
          <w:noProof/>
        </w:rPr>
        <w:pict>
          <v:shape id="_x0000_s1082" type="#_x0000_t202" style="position:absolute;left:0;text-align:left;margin-left:-232.6pt;margin-top:93.2pt;width:226.75pt;height:19.55pt;z-index:251659264;mso-position-horizontal:absolute" wrapcoords="-72 0 -72 20800 21600 20800 21600 0 -72 0" stroked="f">
            <v:textbox inset="0,0,0,0">
              <w:txbxContent>
                <w:p w:rsidR="005A7ECA" w:rsidRPr="00D07315" w:rsidRDefault="005A7ECA" w:rsidP="00D07315">
                  <w:pPr>
                    <w:pStyle w:val="Abbildungsbeschriftung"/>
                    <w:rPr>
                      <w:sz w:val="18"/>
                    </w:rPr>
                  </w:pPr>
                  <w:r w:rsidRPr="00D07315">
                    <w:rPr>
                      <w:sz w:val="18"/>
                    </w:rPr>
                    <w:t>Abbildung 3: Börsenpreisunterschiede beim Speiche</w:t>
                  </w:r>
                  <w:r w:rsidRPr="00D07315">
                    <w:rPr>
                      <w:sz w:val="18"/>
                    </w:rPr>
                    <w:t>r</w:t>
                  </w:r>
                  <w:r w:rsidRPr="00D07315">
                    <w:rPr>
                      <w:sz w:val="18"/>
                    </w:rPr>
                    <w:t>einsatz</w:t>
                  </w:r>
                </w:p>
              </w:txbxContent>
            </v:textbox>
            <w10:wrap type="tight"/>
          </v:shape>
        </w:pict>
      </w:r>
      <w:r w:rsidR="00B36603" w:rsidRPr="00B36603">
        <w:t xml:space="preserve">Beim Speichereinsatz </w:t>
      </w:r>
      <w:r w:rsidR="00D07315">
        <w:t xml:space="preserve">in Abbildung 3 </w:t>
      </w:r>
      <w:r w:rsidR="00B36603" w:rsidRPr="00B36603">
        <w:t xml:space="preserve">glättet E2M2 die Preise </w:t>
      </w:r>
      <w:r w:rsidR="0092016A">
        <w:t>s</w:t>
      </w:r>
      <w:r w:rsidR="00B36603" w:rsidRPr="00B36603">
        <w:t>ystemopti</w:t>
      </w:r>
      <w:r w:rsidR="0092016A">
        <w:t>mal</w:t>
      </w:r>
      <w:r w:rsidR="00B36603" w:rsidRPr="00B36603">
        <w:t xml:space="preserve">. </w:t>
      </w:r>
      <w:r w:rsidR="00334A49">
        <w:t>Der Speiche</w:t>
      </w:r>
      <w:r w:rsidR="00334A49">
        <w:t>r</w:t>
      </w:r>
      <w:r w:rsidR="00334A49">
        <w:t>agent</w:t>
      </w:r>
      <w:r w:rsidR="00B36603" w:rsidRPr="00B36603">
        <w:t xml:space="preserve"> in AMIRIS versuchen</w:t>
      </w:r>
      <w:r w:rsidR="003F50C4">
        <w:t xml:space="preserve"> jedoch - entspr</w:t>
      </w:r>
      <w:r w:rsidR="003F50C4">
        <w:t>e</w:t>
      </w:r>
      <w:r w:rsidR="003F50C4">
        <w:t xml:space="preserve">chend </w:t>
      </w:r>
      <w:r w:rsidR="00334A49">
        <w:t xml:space="preserve">seines </w:t>
      </w:r>
      <w:r w:rsidR="003F50C4">
        <w:t>betriebswir</w:t>
      </w:r>
      <w:r w:rsidR="003F50C4">
        <w:t>t</w:t>
      </w:r>
      <w:r w:rsidR="003F50C4">
        <w:t xml:space="preserve">schaftlichen </w:t>
      </w:r>
      <w:r w:rsidR="00165686">
        <w:t>Kalkül</w:t>
      </w:r>
      <w:r w:rsidR="00334A49">
        <w:t>s</w:t>
      </w:r>
      <w:r w:rsidR="003F50C4">
        <w:t xml:space="preserve"> - </w:t>
      </w:r>
      <w:r w:rsidR="00334A49">
        <w:t xml:space="preserve">seinen </w:t>
      </w:r>
      <w:r w:rsidR="00B36603" w:rsidRPr="00B36603">
        <w:t>Profit durch Ausnu</w:t>
      </w:r>
      <w:r w:rsidR="00B36603" w:rsidRPr="00B36603">
        <w:t>t</w:t>
      </w:r>
      <w:r w:rsidR="00B36603" w:rsidRPr="00B36603">
        <w:t>zung der Preisdifferenz zu maximieren.</w:t>
      </w:r>
      <w:r w:rsidR="003F50C4">
        <w:t xml:space="preserve"> Die Glättung der </w:t>
      </w:r>
      <w:r w:rsidR="00334A49">
        <w:t xml:space="preserve">Preise </w:t>
      </w:r>
      <w:r w:rsidR="003F50C4">
        <w:t>ist somit nicht o</w:t>
      </w:r>
      <w:r w:rsidR="003F50C4">
        <w:t>p</w:t>
      </w:r>
      <w:r w:rsidR="003F50C4">
        <w:t>timal.</w:t>
      </w:r>
    </w:p>
    <w:p w:rsidR="002946B8" w:rsidRDefault="002B0FFF" w:rsidP="00227125">
      <w:r>
        <w:t>Außerdem wird d</w:t>
      </w:r>
      <w:r w:rsidR="00B36603" w:rsidRPr="004C00F0">
        <w:t xml:space="preserve">as Angebot an erneuerbaren Energien am </w:t>
      </w:r>
      <w:r w:rsidR="00165686">
        <w:t xml:space="preserve">Day-Ahead </w:t>
      </w:r>
      <w:r w:rsidR="00B36603" w:rsidRPr="004C00F0">
        <w:t xml:space="preserve">Markt durch </w:t>
      </w:r>
      <w:r w:rsidR="00165686">
        <w:t>das jeweil</w:t>
      </w:r>
      <w:r w:rsidR="00165686">
        <w:t>i</w:t>
      </w:r>
      <w:r w:rsidR="00165686">
        <w:t xml:space="preserve">ge Förderregime </w:t>
      </w:r>
      <w:r w:rsidR="00B36603" w:rsidRPr="004C00F0">
        <w:t>beeinflusst. Daher ist</w:t>
      </w:r>
      <w:r w:rsidR="00165686">
        <w:t>,</w:t>
      </w:r>
      <w:r w:rsidR="00B36603" w:rsidRPr="004C00F0">
        <w:t xml:space="preserve"> </w:t>
      </w:r>
      <w:r w:rsidR="00165686">
        <w:t xml:space="preserve">wie in Abbildung 4 zu sehen, </w:t>
      </w:r>
      <w:r w:rsidR="00B36603" w:rsidRPr="004C00F0">
        <w:t>die marktgetriebene Abr</w:t>
      </w:r>
      <w:r w:rsidR="00B36603" w:rsidRPr="004C00F0">
        <w:t>e</w:t>
      </w:r>
      <w:r w:rsidR="00B36603" w:rsidRPr="004C00F0">
        <w:t xml:space="preserve">gelung </w:t>
      </w:r>
      <w:r w:rsidR="00165686">
        <w:t xml:space="preserve">beim Einsatz einer Marktprämie für EE </w:t>
      </w:r>
      <w:r w:rsidR="00B36603" w:rsidRPr="004C00F0">
        <w:t>kleiner als die systemoptimale A</w:t>
      </w:r>
      <w:r w:rsidR="00B36603" w:rsidRPr="004C00F0">
        <w:t>b</w:t>
      </w:r>
      <w:r w:rsidR="00B36603" w:rsidRPr="004C00F0">
        <w:t>regelung.</w:t>
      </w:r>
    </w:p>
    <w:p w:rsidR="002B0FFF" w:rsidRDefault="002B0FFF" w:rsidP="00227125"/>
    <w:p w:rsidR="00165686" w:rsidRDefault="00165686" w:rsidP="00227125">
      <w:r>
        <w:t>Aus diesen Ergebnissen können hilfreiche Schlussfolgerungen gezogen werden, um effekt</w:t>
      </w:r>
      <w:r>
        <w:t>i</w:t>
      </w:r>
      <w:r>
        <w:t>vere und effizientere Anrei</w:t>
      </w:r>
      <w:bookmarkStart w:id="0" w:name="_GoBack"/>
      <w:bookmarkEnd w:id="0"/>
      <w:r>
        <w:t>zsystem</w:t>
      </w:r>
      <w:r w:rsidR="00137EEB">
        <w:t>e und Förderi</w:t>
      </w:r>
      <w:r w:rsidR="00137EEB">
        <w:t>n</w:t>
      </w:r>
      <w:r w:rsidR="00137EEB">
        <w:t>strumente</w:t>
      </w:r>
      <w:r>
        <w:t xml:space="preserve"> für den Transformationsprozess zu entwickeln, die </w:t>
      </w:r>
      <w:r w:rsidR="00137EEB">
        <w:t>den Weg hin zu einem makroök</w:t>
      </w:r>
      <w:r w:rsidR="00137EEB">
        <w:t>o</w:t>
      </w:r>
      <w:r w:rsidR="00137EEB">
        <w:t>nomischem optimalen, aber auch mikroökon</w:t>
      </w:r>
      <w:r w:rsidR="00137EEB">
        <w:t>o</w:t>
      </w:r>
      <w:r w:rsidR="00137EEB">
        <w:t>misch realisierbaren System au</w:t>
      </w:r>
      <w:r w:rsidR="00137EEB">
        <w:t>f</w:t>
      </w:r>
      <w:r w:rsidR="00137EEB">
        <w:t>zeigen.</w:t>
      </w:r>
    </w:p>
    <w:p w:rsidR="00F2596E" w:rsidRPr="00803917" w:rsidRDefault="00F2596E" w:rsidP="00227125"/>
    <w:p w:rsidR="005E4D4F" w:rsidRPr="005E4D4F" w:rsidRDefault="005E4D4F" w:rsidP="00A156E4">
      <w:pPr>
        <w:pStyle w:val="Ueberschrift"/>
      </w:pPr>
      <w:bookmarkStart w:id="1" w:name="_Toc26086066"/>
      <w:bookmarkStart w:id="2" w:name="_Toc68418491"/>
      <w:r w:rsidRPr="005E4D4F">
        <w:t>Literatur</w:t>
      </w:r>
      <w:bookmarkEnd w:id="1"/>
      <w:bookmarkEnd w:id="2"/>
    </w:p>
    <w:p w:rsidR="0092016A" w:rsidRPr="009A5CE0" w:rsidRDefault="0092016A" w:rsidP="00227125">
      <w:pPr>
        <w:pStyle w:val="Literatur"/>
        <w:rPr>
          <w:sz w:val="19"/>
          <w:szCs w:val="19"/>
          <w:lang w:val="en-US"/>
        </w:rPr>
      </w:pPr>
      <w:r w:rsidRPr="009A5CE0">
        <w:rPr>
          <w:sz w:val="19"/>
          <w:szCs w:val="19"/>
          <w:lang w:val="en-US"/>
        </w:rPr>
        <w:t>[</w:t>
      </w:r>
      <w:r w:rsidR="00D248FB" w:rsidRPr="009A5CE0">
        <w:rPr>
          <w:sz w:val="19"/>
          <w:szCs w:val="19"/>
          <w:lang w:val="en-US"/>
        </w:rPr>
        <w:t>1</w:t>
      </w:r>
      <w:r w:rsidRPr="009A5CE0">
        <w:rPr>
          <w:sz w:val="19"/>
          <w:szCs w:val="19"/>
          <w:lang w:val="en-US"/>
        </w:rPr>
        <w:t>] Deissenroth et al., Efficient pathways for the energy transition by soft coupling of optimization and sim</w:t>
      </w:r>
      <w:r w:rsidRPr="009A5CE0">
        <w:rPr>
          <w:sz w:val="19"/>
          <w:szCs w:val="19"/>
          <w:lang w:val="en-US"/>
        </w:rPr>
        <w:t>u</w:t>
      </w:r>
      <w:r w:rsidRPr="009A5CE0">
        <w:rPr>
          <w:sz w:val="19"/>
          <w:szCs w:val="19"/>
          <w:lang w:val="en-US"/>
        </w:rPr>
        <w:t>lation model, IAEE Conference Procee</w:t>
      </w:r>
      <w:r w:rsidRPr="009A5CE0">
        <w:rPr>
          <w:sz w:val="19"/>
          <w:szCs w:val="19"/>
          <w:lang w:val="en-US"/>
        </w:rPr>
        <w:t>d</w:t>
      </w:r>
      <w:r w:rsidRPr="009A5CE0">
        <w:rPr>
          <w:sz w:val="19"/>
          <w:szCs w:val="19"/>
          <w:lang w:val="en-US"/>
        </w:rPr>
        <w:t>ings, 2017</w:t>
      </w:r>
    </w:p>
    <w:p w:rsidR="009A5CE0" w:rsidRPr="009A5CE0" w:rsidRDefault="00D248FB" w:rsidP="009A5CE0">
      <w:pPr>
        <w:pStyle w:val="Literatur"/>
        <w:rPr>
          <w:sz w:val="19"/>
          <w:szCs w:val="19"/>
        </w:rPr>
      </w:pPr>
      <w:r w:rsidRPr="009A5CE0">
        <w:rPr>
          <w:sz w:val="19"/>
          <w:szCs w:val="19"/>
        </w:rPr>
        <w:t>[2] Sun N., Modellgestützte Untersuchung des Elektrizitätsmarktes – Kraftwerkeinsatzplanung und  Invest</w:t>
      </w:r>
      <w:r w:rsidRPr="009A5CE0">
        <w:rPr>
          <w:sz w:val="19"/>
          <w:szCs w:val="19"/>
        </w:rPr>
        <w:t>i</w:t>
      </w:r>
      <w:r w:rsidRPr="009A5CE0">
        <w:rPr>
          <w:sz w:val="19"/>
          <w:szCs w:val="19"/>
        </w:rPr>
        <w:t>tionen, Universität Stuttgart, 2013</w:t>
      </w:r>
    </w:p>
    <w:p w:rsidR="005A7ECA" w:rsidRPr="009A5CE0" w:rsidRDefault="00D248FB" w:rsidP="005A7ECA">
      <w:pPr>
        <w:pStyle w:val="Literatur"/>
        <w:rPr>
          <w:sz w:val="19"/>
          <w:szCs w:val="19"/>
          <w:lang w:val="en-US"/>
        </w:rPr>
      </w:pPr>
      <w:r w:rsidRPr="009A5CE0">
        <w:rPr>
          <w:sz w:val="19"/>
          <w:szCs w:val="19"/>
          <w:lang w:val="en-US"/>
        </w:rPr>
        <w:t>[3] Deissenroth et al., Assessing the Plurality of Actors and Policy Interactions - Agent-based Modelling of Renewable Energy Market Integration, Complexity</w:t>
      </w:r>
      <w:r w:rsidR="009A5CE0">
        <w:rPr>
          <w:sz w:val="19"/>
          <w:szCs w:val="19"/>
          <w:lang w:val="en-US"/>
        </w:rPr>
        <w:t xml:space="preserve"> </w:t>
      </w:r>
      <w:r w:rsidRPr="009A5CE0">
        <w:rPr>
          <w:sz w:val="19"/>
          <w:szCs w:val="19"/>
          <w:lang w:val="en-US"/>
        </w:rPr>
        <w:t>, 2017</w:t>
      </w:r>
      <w:r w:rsidR="009A5CE0">
        <w:rPr>
          <w:sz w:val="19"/>
          <w:szCs w:val="19"/>
          <w:lang w:val="en-US"/>
        </w:rPr>
        <w:t xml:space="preserve">, </w:t>
      </w:r>
      <w:hyperlink r:id="rId12" w:history="1">
        <w:r w:rsidR="005A7ECA" w:rsidRPr="0045411A">
          <w:rPr>
            <w:rStyle w:val="Hyperlink"/>
            <w:sz w:val="19"/>
            <w:szCs w:val="19"/>
            <w:lang w:val="en-US"/>
          </w:rPr>
          <w:t>https://doi.org/10.1155/2017/7494313</w:t>
        </w:r>
      </w:hyperlink>
    </w:p>
    <w:sectPr w:rsidR="005A7ECA" w:rsidRPr="009A5CE0" w:rsidSect="00112A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E0" w:rsidRDefault="00C95FE0">
      <w:r>
        <w:separator/>
      </w:r>
    </w:p>
  </w:endnote>
  <w:endnote w:type="continuationSeparator" w:id="0">
    <w:p w:rsidR="00C95FE0" w:rsidRDefault="00C9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E0" w:rsidRDefault="00C95FE0">
      <w:r>
        <w:separator/>
      </w:r>
    </w:p>
  </w:footnote>
  <w:footnote w:type="continuationSeparator" w:id="0">
    <w:p w:rsidR="00C95FE0" w:rsidRDefault="00C95FE0">
      <w:r>
        <w:continuationSeparator/>
      </w:r>
    </w:p>
  </w:footnote>
  <w:footnote w:id="1">
    <w:p w:rsidR="005A7ECA" w:rsidRPr="00FB69AE" w:rsidRDefault="005A7ECA" w:rsidP="002014D3">
      <w:r w:rsidRPr="00A115D2">
        <w:rPr>
          <w:rStyle w:val="Funotenzeichen"/>
        </w:rPr>
        <w:footnoteRef/>
      </w:r>
      <w:r w:rsidRPr="00D53E86">
        <w:t xml:space="preserve"> </w:t>
      </w:r>
      <w:r>
        <w:t xml:space="preserve">Pfaffenwaldring 38-40, +49-711-6862-282, matthias.reeg@dlr.de,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71F"/>
    <w:multiLevelType w:val="multilevel"/>
    <w:tmpl w:val="0978BA90"/>
    <w:numStyleLink w:val="Aufzhlung"/>
  </w:abstractNum>
  <w:abstractNum w:abstractNumId="1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D75967"/>
    <w:multiLevelType w:val="multilevel"/>
    <w:tmpl w:val="0978BA90"/>
    <w:numStyleLink w:val="Aufzhlung"/>
  </w:abstractNum>
  <w:abstractNum w:abstractNumId="3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D4F"/>
    <w:rsid w:val="00010E92"/>
    <w:rsid w:val="0008365A"/>
    <w:rsid w:val="0009191B"/>
    <w:rsid w:val="00112AFB"/>
    <w:rsid w:val="00137EEB"/>
    <w:rsid w:val="00165686"/>
    <w:rsid w:val="00184BEF"/>
    <w:rsid w:val="001F3ABE"/>
    <w:rsid w:val="002014D3"/>
    <w:rsid w:val="00227125"/>
    <w:rsid w:val="00262FD5"/>
    <w:rsid w:val="002669D1"/>
    <w:rsid w:val="002946B8"/>
    <w:rsid w:val="002A66FB"/>
    <w:rsid w:val="002B0FFF"/>
    <w:rsid w:val="002C40A8"/>
    <w:rsid w:val="003348CD"/>
    <w:rsid w:val="00334A49"/>
    <w:rsid w:val="00336DA1"/>
    <w:rsid w:val="00350F98"/>
    <w:rsid w:val="00372926"/>
    <w:rsid w:val="003763E4"/>
    <w:rsid w:val="003B676F"/>
    <w:rsid w:val="003C28FE"/>
    <w:rsid w:val="003D0739"/>
    <w:rsid w:val="003E23AA"/>
    <w:rsid w:val="003F50C4"/>
    <w:rsid w:val="00483B87"/>
    <w:rsid w:val="004C00F0"/>
    <w:rsid w:val="005A7ECA"/>
    <w:rsid w:val="005B1ADB"/>
    <w:rsid w:val="005E4D4F"/>
    <w:rsid w:val="005E5B0D"/>
    <w:rsid w:val="006079F3"/>
    <w:rsid w:val="007378C8"/>
    <w:rsid w:val="00741EC0"/>
    <w:rsid w:val="00747E07"/>
    <w:rsid w:val="0079601F"/>
    <w:rsid w:val="00800E71"/>
    <w:rsid w:val="00803917"/>
    <w:rsid w:val="008060C5"/>
    <w:rsid w:val="0092016A"/>
    <w:rsid w:val="009A5CE0"/>
    <w:rsid w:val="00A07737"/>
    <w:rsid w:val="00A156E4"/>
    <w:rsid w:val="00A6148D"/>
    <w:rsid w:val="00AB3306"/>
    <w:rsid w:val="00B36603"/>
    <w:rsid w:val="00BB1209"/>
    <w:rsid w:val="00BE4783"/>
    <w:rsid w:val="00BF05FA"/>
    <w:rsid w:val="00C95FE0"/>
    <w:rsid w:val="00CE1A70"/>
    <w:rsid w:val="00D07315"/>
    <w:rsid w:val="00D248FB"/>
    <w:rsid w:val="00D53E86"/>
    <w:rsid w:val="00D736F8"/>
    <w:rsid w:val="00D84550"/>
    <w:rsid w:val="00DA4F22"/>
    <w:rsid w:val="00DC4466"/>
    <w:rsid w:val="00DD0111"/>
    <w:rsid w:val="00E520E6"/>
    <w:rsid w:val="00EE7436"/>
    <w:rsid w:val="00F202FD"/>
    <w:rsid w:val="00F2596E"/>
    <w:rsid w:val="00F325CB"/>
    <w:rsid w:val="00F4089B"/>
    <w:rsid w:val="00F844B1"/>
    <w:rsid w:val="00FB69AE"/>
    <w:rsid w:val="00FD2474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09191B"/>
    <w:pPr>
      <w:spacing w:after="200"/>
    </w:pPr>
    <w:rPr>
      <w:b/>
      <w:bCs/>
      <w:color w:val="4F81BD"/>
      <w:sz w:val="18"/>
      <w:szCs w:val="18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character" w:styleId="Hyperlink">
    <w:name w:val="Hyperlink"/>
    <w:uiPriority w:val="99"/>
    <w:unhideWhenUsed/>
    <w:rsid w:val="00DA4F22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5E5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29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72926"/>
    <w:rPr>
      <w:rFonts w:ascii="Tahoma" w:hAnsi="Tahoma" w:cs="Tahoma"/>
      <w:sz w:val="16"/>
      <w:szCs w:val="16"/>
      <w:lang w:eastAsia="ko-KR"/>
    </w:rPr>
  </w:style>
  <w:style w:type="character" w:styleId="Kommentarzeichen">
    <w:name w:val="annotation reference"/>
    <w:uiPriority w:val="99"/>
    <w:semiHidden/>
    <w:unhideWhenUsed/>
    <w:rsid w:val="003729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2926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72926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292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72926"/>
    <w:rPr>
      <w:rFonts w:ascii="Arial" w:hAnsi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55/2017/74943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881F-F528-4D3E-A316-B24DA253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6105</CharactersWithSpaces>
  <SharedDoc>false</SharedDoc>
  <HLinks>
    <vt:vector size="6" baseType="variant">
      <vt:variant>
        <vt:i4>2031683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https://doi.org/10.1155/2017/7494313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Gerald</dc:creator>
  <cp:lastModifiedBy>Reeg, Matthias</cp:lastModifiedBy>
  <cp:revision>2</cp:revision>
  <dcterms:created xsi:type="dcterms:W3CDTF">2018-11-07T19:33:00Z</dcterms:created>
  <dcterms:modified xsi:type="dcterms:W3CDTF">2018-11-07T19:33:00Z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Harvard Reference format 1 (author-date)</vt:lpwstr>
  </property>
</Properties>
</file>