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D8" w:rsidRDefault="00AA2BD8" w:rsidP="00A156E4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</w:pPr>
      <w:bookmarkStart w:id="0" w:name="_GoBack"/>
      <w:bookmarkEnd w:id="0"/>
      <w:r w:rsidRPr="00AA2BD8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Status der Energieeffizienz in Österreich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- </w:t>
      </w:r>
      <w:r w:rsidRPr="00AA2BD8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Umsetzung der 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 xml:space="preserve">(novellierten) europäischen </w:t>
      </w:r>
      <w:r w:rsidRPr="00AA2BD8"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Energieeffizienz-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de-DE" w:eastAsia="en-US"/>
        </w:rPr>
        <w:t>Richtlinie</w:t>
      </w:r>
    </w:p>
    <w:p w:rsidR="00BF05FA" w:rsidRDefault="00BF05FA" w:rsidP="00A156E4">
      <w:pPr>
        <w:pStyle w:val="AutorenOrganisation"/>
      </w:pPr>
      <w:r>
        <w:t>Themenbereich</w:t>
      </w:r>
    </w:p>
    <w:p w:rsidR="00AA2BD8" w:rsidRDefault="00AA2BD8" w:rsidP="00A156E4">
      <w:pPr>
        <w:pStyle w:val="AutorenOrganisation"/>
      </w:pPr>
      <w:r w:rsidRPr="00AA2BD8">
        <w:t>Günter Simader, Gregor Thenius, Christoph Ploiner</w:t>
      </w:r>
    </w:p>
    <w:p w:rsidR="00AA2BD8" w:rsidRDefault="00AA2BD8" w:rsidP="00AA2BD8">
      <w:pPr>
        <w:pStyle w:val="AutorenOrganisation"/>
      </w:pPr>
      <w:r>
        <w:rPr>
          <w:vertAlign w:val="superscript"/>
        </w:rPr>
        <w:t xml:space="preserve"> </w:t>
      </w:r>
      <w:r>
        <w:t>Austrian Energy Agency, Mariahilfer Straße 138, 1150 Wien</w:t>
      </w:r>
    </w:p>
    <w:p w:rsidR="00A07737" w:rsidRPr="005E4D4F" w:rsidRDefault="00A07737" w:rsidP="00FB69AE">
      <w:pPr>
        <w:rPr>
          <w:lang w:val="de-AT"/>
        </w:rPr>
      </w:pP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787B24" w:rsidRDefault="00787B24" w:rsidP="00C1611B">
      <w:r w:rsidRPr="00D20C15">
        <w:t>Im Juni 2018 haben das Europäische Parlament, der Rat und die Europäische Kommission einen Kompromiss über das sogenannte erste Teilpaket des Legislativpakets „Saubere Energie für alle Europäer“ (Erneuerbare-Energien-Richtlinie, Energieeffizienz-Richtlinie und Governance-Verordnung) erzielt. Dieses Legislativpaket legt für 2030 neue Ziele fest.</w:t>
      </w:r>
    </w:p>
    <w:p w:rsidR="00C1611B" w:rsidRPr="00D20C15" w:rsidRDefault="00C1611B" w:rsidP="00C1611B"/>
    <w:p w:rsidR="00787B24" w:rsidRPr="00C1611B" w:rsidRDefault="00787B24" w:rsidP="00C1611B">
      <w:r w:rsidRPr="00D20C15">
        <w:t>Kernelemente der Trilog-Einigungen zwischen den EU-Staaten, dem europäischen Parlament und der europäischen Kommission sind die Festlegung der EU-2030-Ziele für erneuerbare Energien in Höhe von 32 Prozent</w:t>
      </w:r>
      <w:r w:rsidRPr="00C1611B">
        <w:t xml:space="preserve"> und für Energieeffizienz in Höhe von 32,5 Prozent sowie verlässliche Instrumente für die Erreichung dieser Ziele. Weiters hat sich die europäische Union für 2030 das Ziel gesetzt, die EU-internen Treibhausgasemissionen um mindestens 40 Prozent gegenüber 1990 zu reduzieren. </w:t>
      </w:r>
    </w:p>
    <w:p w:rsidR="00787B24" w:rsidRPr="00787B24" w:rsidRDefault="00787B24" w:rsidP="00787B24">
      <w:pPr>
        <w:rPr>
          <w:lang w:val="de-AT"/>
        </w:rPr>
      </w:pPr>
    </w:p>
    <w:p w:rsidR="005E4D4F" w:rsidRPr="005E4D4F" w:rsidRDefault="005E4D4F" w:rsidP="005E4D4F">
      <w:pPr>
        <w:pStyle w:val="Ueberschrift"/>
      </w:pPr>
      <w:r w:rsidRPr="005E4D4F">
        <w:t>Methodische Vorgangsweise</w:t>
      </w:r>
    </w:p>
    <w:p w:rsidR="00C1611B" w:rsidRDefault="00C1611B" w:rsidP="00C1611B">
      <w:r>
        <w:t>Die Umsetzung der 2030 Ziele werden derzeit von den EU Mitgliedsstaaten (inkl. Österreich) in Vorbereitung. Davon ausgehend, dass die revidierte Energieeffizienz-Richtlinie (EED 2) im Dezember 2018 offiziell publiziert wird, haben die Mitgliedsstaaten 18 Monate Zeit, die Richtlinie in nationales Recht umzusetzen.</w:t>
      </w:r>
    </w:p>
    <w:p w:rsidR="00C1611B" w:rsidRDefault="00C1611B" w:rsidP="00C1611B"/>
    <w:p w:rsidR="00C1611B" w:rsidRDefault="00C1611B" w:rsidP="00C1611B">
      <w:r>
        <w:t xml:space="preserve">Bis zum Jahr </w:t>
      </w:r>
      <w:r w:rsidRPr="00AA2BD8">
        <w:t xml:space="preserve">2020 </w:t>
      </w:r>
      <w:r>
        <w:t xml:space="preserve">hat sich die EU das Ziel gesetzt, </w:t>
      </w:r>
      <w:r w:rsidR="00703115">
        <w:t>20</w:t>
      </w:r>
      <w:r w:rsidRPr="00AA2BD8">
        <w:t xml:space="preserve">g Prozent ihres Energieverbrauchs einzusparen und hat diese Maßnahme </w:t>
      </w:r>
      <w:r>
        <w:t xml:space="preserve">auch </w:t>
      </w:r>
      <w:r w:rsidRPr="00AA2BD8">
        <w:t xml:space="preserve">zu einem der fünf vorrangigen Schwerpunkte der Strategie Europa 2020 für ein intelligentes, nachhaltiges und integratives Wachstum gemacht. </w:t>
      </w:r>
    </w:p>
    <w:p w:rsidR="00C1611B" w:rsidRDefault="00C1611B" w:rsidP="00C1611B"/>
    <w:p w:rsidR="00703115" w:rsidRPr="00AA2BD8" w:rsidRDefault="00C1611B" w:rsidP="00AB0992">
      <w:r w:rsidRPr="00AA2BD8">
        <w:t>In Österreich wurden wesentliche Artikel</w:t>
      </w:r>
      <w:r>
        <w:t xml:space="preserve"> der Energieeffizienz-Richtlinie (</w:t>
      </w:r>
      <w:r w:rsidR="00703115">
        <w:t>2012/27/EU</w:t>
      </w:r>
      <w:r>
        <w:t xml:space="preserve">) </w:t>
      </w:r>
      <w:r w:rsidRPr="00AA2BD8">
        <w:t>zum einen mit dem Bundes-Energieeffizienzgesetz (EEffG, BGBl. I Nr.72/2014) und zum anderen mit einem Maßnahmen-Bündel von Bund und Ländern (u.a. Umweltförderung im Inland, Wohnbauförderung) umgesetzt.</w:t>
      </w:r>
      <w:r w:rsidR="00703115" w:rsidRPr="00703115">
        <w:t xml:space="preserve"> </w:t>
      </w:r>
      <w:r w:rsidR="00703115">
        <w:t xml:space="preserve">Letztendlich soll mit diesen Maßnahmen sichergestellt werden, </w:t>
      </w:r>
      <w:r w:rsidR="00703115" w:rsidRPr="00AA2BD8">
        <w:t>dass sich der energetische Endenergieverbrauch Österreichs bis zum Jahr 2020 auf 1.050 PJ stabilisiert.</w:t>
      </w:r>
    </w:p>
    <w:p w:rsidR="00C1611B" w:rsidRDefault="00C1611B" w:rsidP="00C1611B"/>
    <w:p w:rsidR="00C1611B" w:rsidRDefault="00C1611B" w:rsidP="00C1611B">
      <w:r w:rsidRPr="00F73F94">
        <w:t>Dieser Beitrag zeigt d</w:t>
      </w:r>
      <w:r w:rsidR="00703115">
        <w:t>en Status der Energieeffizienz in Österreich, die</w:t>
      </w:r>
      <w:r w:rsidRPr="00F73F94">
        <w:t xml:space="preserve"> Umsetzungsschritte des Energieeffizienzgesetzes in Österreich im Detail auf und </w:t>
      </w:r>
      <w:r w:rsidR="00703115">
        <w:t xml:space="preserve">zeigt Möglichkeiten auf zukünftig die Verpflichtungen des Artikel 7 in Österreich umzusetzen. </w:t>
      </w:r>
    </w:p>
    <w:p w:rsidR="00AA2BD8" w:rsidRPr="005E4D4F" w:rsidRDefault="00AA2BD8" w:rsidP="00227125"/>
    <w:p w:rsidR="005E4D4F" w:rsidRPr="005E4D4F" w:rsidRDefault="005E4D4F" w:rsidP="005E4D4F">
      <w:pPr>
        <w:pStyle w:val="Ueberschrift"/>
      </w:pPr>
      <w:r w:rsidRPr="005E4D4F">
        <w:t>Ergebnisse und Schlussfolgerungen</w:t>
      </w:r>
    </w:p>
    <w:p w:rsidR="00703115" w:rsidRDefault="00FC0E26" w:rsidP="00FC0E26">
      <w:r w:rsidRPr="00FC0E26">
        <w:t xml:space="preserve">Unter Annahme einer Fortsetzung der seit 2005 beobachtbaren Verbesserung der Energieintensität scheint der im Energieeffizienzgesetz und im Artikel 3 der Energieeffizienz-Richtlinie genannte Zielwert von 1.050 PJ im Jahr 2020 </w:t>
      </w:r>
      <w:r w:rsidR="00703115">
        <w:t xml:space="preserve">derzeit nicht </w:t>
      </w:r>
      <w:r w:rsidRPr="00FC0E26">
        <w:t>erreichbar</w:t>
      </w:r>
      <w:r w:rsidR="00703115">
        <w:t xml:space="preserve"> (siehe nachfolgende Abbildung).</w:t>
      </w:r>
    </w:p>
    <w:p w:rsidR="00703115" w:rsidRDefault="00703115" w:rsidP="00FC0E26"/>
    <w:p w:rsidR="00703115" w:rsidRDefault="001F0DE7" w:rsidP="00FC0E26">
      <w:r w:rsidRPr="00EC547D">
        <w:rPr>
          <w:noProof/>
          <w:lang w:val="de-AT" w:eastAsia="de-AT"/>
        </w:rPr>
        <w:drawing>
          <wp:inline distT="0" distB="0" distL="0" distR="0">
            <wp:extent cx="4962525" cy="1133475"/>
            <wp:effectExtent l="0" t="0" r="0" b="0"/>
            <wp:docPr id="1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E26" w:rsidRPr="00FC0E26">
        <w:t xml:space="preserve">, </w:t>
      </w:r>
    </w:p>
    <w:p w:rsidR="00703115" w:rsidRDefault="00703115" w:rsidP="00FC0E26"/>
    <w:p w:rsidR="00FC0E26" w:rsidRPr="0038229F" w:rsidRDefault="00703115" w:rsidP="00FC0E26">
      <w:r w:rsidRPr="0038229F">
        <w:t>D</w:t>
      </w:r>
      <w:r w:rsidR="00FC0E26" w:rsidRPr="0038229F">
        <w:t xml:space="preserve">ie Endenergieverbrauchsentwicklung im letzten Jahr </w:t>
      </w:r>
      <w:r w:rsidR="0038229F" w:rsidRPr="0038229F">
        <w:t xml:space="preserve">(2017) </w:t>
      </w:r>
      <w:r w:rsidR="00FC0E26" w:rsidRPr="0038229F">
        <w:t>von 1.1</w:t>
      </w:r>
      <w:r w:rsidR="0038229F" w:rsidRPr="0038229F">
        <w:t>30</w:t>
      </w:r>
      <w:r w:rsidR="00FC0E26" w:rsidRPr="0038229F">
        <w:t xml:space="preserve"> PJ (201</w:t>
      </w:r>
      <w:r w:rsidR="0038229F" w:rsidRPr="0038229F">
        <w:t>6</w:t>
      </w:r>
      <w:r w:rsidR="00FC0E26" w:rsidRPr="0038229F">
        <w:t>: 1.</w:t>
      </w:r>
      <w:r w:rsidR="0038229F" w:rsidRPr="0038229F">
        <w:t>11</w:t>
      </w:r>
      <w:r w:rsidR="00FC0E26" w:rsidRPr="0038229F">
        <w:t>0 PJ) zeigt, dass weitere Anstrengungen erforderlich sein werden</w:t>
      </w:r>
      <w:r w:rsidRPr="0038229F">
        <w:t xml:space="preserve">, um die Energieeffizienz-Ziele Österreichs </w:t>
      </w:r>
      <w:r w:rsidR="00AB0992">
        <w:t xml:space="preserve">bis 2020 </w:t>
      </w:r>
      <w:r w:rsidRPr="0038229F">
        <w:t>zu erreichen.</w:t>
      </w:r>
      <w:r w:rsidR="0038229F">
        <w:t xml:space="preserve"> </w:t>
      </w:r>
      <w:r w:rsidR="00AB0992">
        <w:t xml:space="preserve">Die Ziele der EED 2 können als noch ambitionierter als die 2020 Ziele bezeichnet werden, in </w:t>
      </w:r>
      <w:r w:rsidR="00AB0992">
        <w:lastRenderedPageBreak/>
        <w:t>diesem Sinne müssen für die Erreichung dieser Ziele auch die österreichischen Anstrengungen deutlich verstärkt werden.</w:t>
      </w:r>
    </w:p>
    <w:p w:rsidR="00703115" w:rsidRDefault="00703115" w:rsidP="00FC0E26">
      <w:pPr>
        <w:rPr>
          <w:highlight w:val="yellow"/>
        </w:rPr>
      </w:pPr>
    </w:p>
    <w:p w:rsidR="00FC0E26" w:rsidRPr="00FC0E26" w:rsidRDefault="00FC0E26" w:rsidP="00FC0E26">
      <w:pPr>
        <w:pStyle w:val="Ueberschrift"/>
      </w:pPr>
      <w:r w:rsidRPr="00FC0E26">
        <w:t>Literatur</w:t>
      </w:r>
    </w:p>
    <w:p w:rsidR="00AB0992" w:rsidRPr="00AB0992" w:rsidRDefault="00AB0992" w:rsidP="00AB0992">
      <w:pPr>
        <w:pStyle w:val="Ueberschrift"/>
        <w:jc w:val="left"/>
        <w:rPr>
          <w:b w:val="0"/>
        </w:rPr>
      </w:pPr>
      <w:r w:rsidRPr="00AB0992">
        <w:rPr>
          <w:b w:val="0"/>
        </w:rPr>
        <w:t>[1] Fortschrittsbericht 2018 laut Art. 24 (1) Energieeffizienz-Richtlinie 2012/27/EU, BMNT, Wien, April 2018</w:t>
      </w:r>
    </w:p>
    <w:p w:rsidR="00AB0992" w:rsidRPr="00AB0992" w:rsidRDefault="00AB0992" w:rsidP="00AB0992">
      <w:pPr>
        <w:pStyle w:val="Ueberschrift"/>
        <w:jc w:val="left"/>
        <w:rPr>
          <w:b w:val="0"/>
        </w:rPr>
      </w:pPr>
      <w:r w:rsidRPr="00AB0992">
        <w:rPr>
          <w:b w:val="0"/>
        </w:rPr>
        <w:t>[2] Nationaler Energieeffizienzaktionsplan der Republik Österreich 2017 gemäß Energieeffizienzrichtlinie 2012/27/EU, BMWFW, Wien, April 2017</w:t>
      </w:r>
    </w:p>
    <w:p w:rsidR="002946B8" w:rsidRPr="00AB0992" w:rsidRDefault="00AB0992" w:rsidP="00AB0992">
      <w:pPr>
        <w:pStyle w:val="Ueberschrift"/>
        <w:jc w:val="left"/>
        <w:rPr>
          <w:b w:val="0"/>
        </w:rPr>
      </w:pPr>
      <w:r w:rsidRPr="00AB0992">
        <w:rPr>
          <w:b w:val="0"/>
        </w:rPr>
        <w:t>[3] Berichte in den Jahren 2017 und 2018 über den Stand der Umsetzung des Bundes-Energieeffizienzgesetzes (EEffG) in Österreich gemäß § 30 EEffG, BMNT und Monitoringstelle Energieeffizienz – Österreichische Energieagentur, Wien, November 2017 und September 2018</w:t>
      </w:r>
    </w:p>
    <w:sectPr w:rsidR="002946B8" w:rsidRPr="00AB09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19" w:rsidRDefault="00271C19">
      <w:r>
        <w:separator/>
      </w:r>
    </w:p>
  </w:endnote>
  <w:endnote w:type="continuationSeparator" w:id="0">
    <w:p w:rsidR="00271C19" w:rsidRDefault="0027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19" w:rsidRDefault="00271C19">
      <w:r>
        <w:separator/>
      </w:r>
    </w:p>
  </w:footnote>
  <w:footnote w:type="continuationSeparator" w:id="0">
    <w:p w:rsidR="00271C19" w:rsidRDefault="0027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4000"/>
    <w:multiLevelType w:val="hybridMultilevel"/>
    <w:tmpl w:val="F36C19BC"/>
    <w:lvl w:ilvl="0" w:tplc="85F2F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8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0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A3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01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8B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40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AD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02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D75967"/>
    <w:multiLevelType w:val="multilevel"/>
    <w:tmpl w:val="0978BA90"/>
    <w:numStyleLink w:val="Aufzhlung"/>
  </w:abstractNum>
  <w:abstractNum w:abstractNumId="4" w15:restartNumberingAfterBreak="0">
    <w:nsid w:val="5D250CA1"/>
    <w:multiLevelType w:val="multilevel"/>
    <w:tmpl w:val="04FA33E0"/>
    <w:lvl w:ilvl="0">
      <w:start w:val="1"/>
      <w:numFmt w:val="bullet"/>
      <w:pStyle w:val="Aufzhlung0"/>
      <w:lvlText w:val="–"/>
      <w:lvlJc w:val="left"/>
      <w:pPr>
        <w:ind w:left="851" w:hanging="171"/>
      </w:pPr>
      <w:rPr>
        <w:rFonts w:ascii="Times New Roman" w:hAnsi="Times New Roman" w:cs="Times New Roman" w:hint="default"/>
        <w:b/>
        <w:bCs/>
        <w:i w:val="0"/>
        <w:iCs w:val="0"/>
        <w:color w:val="005FA0"/>
        <w:u w:val="none"/>
      </w:rPr>
    </w:lvl>
    <w:lvl w:ilvl="1">
      <w:start w:val="1"/>
      <w:numFmt w:val="bullet"/>
      <w:lvlText w:val="–"/>
      <w:lvlJc w:val="left"/>
      <w:pPr>
        <w:ind w:left="1021" w:hanging="170"/>
      </w:pPr>
      <w:rPr>
        <w:rFonts w:ascii="Times New Roman" w:hAnsi="Times New Roman" w:cs="Times New Roman" w:hint="default"/>
        <w:color w:val="005FA0"/>
      </w:rPr>
    </w:lvl>
    <w:lvl w:ilvl="2">
      <w:start w:val="1"/>
      <w:numFmt w:val="bullet"/>
      <w:lvlText w:val="–"/>
      <w:lvlJc w:val="left"/>
      <w:pPr>
        <w:ind w:left="1191" w:hanging="170"/>
      </w:pPr>
      <w:rPr>
        <w:rFonts w:ascii="Times New Roman" w:hAnsi="Times New Roman" w:cs="Times New Roman" w:hint="default"/>
        <w:color w:val="005FA0"/>
      </w:rPr>
    </w:lvl>
    <w:lvl w:ilvl="3">
      <w:start w:val="1"/>
      <w:numFmt w:val="bullet"/>
      <w:lvlText w:val="–"/>
      <w:lvlJc w:val="left"/>
      <w:pPr>
        <w:ind w:left="1361" w:hanging="170"/>
      </w:pPr>
      <w:rPr>
        <w:rFonts w:ascii="Times New Roman" w:hAnsi="Times New Roman" w:cs="Times New Roman" w:hint="default"/>
        <w:color w:val="005FA0"/>
      </w:rPr>
    </w:lvl>
    <w:lvl w:ilvl="4">
      <w:start w:val="1"/>
      <w:numFmt w:val="bullet"/>
      <w:lvlText w:val="–"/>
      <w:lvlJc w:val="left"/>
      <w:pPr>
        <w:ind w:left="1531" w:hanging="170"/>
      </w:pPr>
      <w:rPr>
        <w:rFonts w:ascii="Times New Roman" w:hAnsi="Times New Roman" w:cs="Times New Roman" w:hint="default"/>
        <w:color w:val="005FA0"/>
      </w:rPr>
    </w:lvl>
    <w:lvl w:ilvl="5">
      <w:start w:val="1"/>
      <w:numFmt w:val="bullet"/>
      <w:lvlText w:val="–"/>
      <w:lvlJc w:val="left"/>
      <w:pPr>
        <w:ind w:left="1701" w:hanging="170"/>
      </w:pPr>
      <w:rPr>
        <w:rFonts w:ascii="Times New Roman" w:hAnsi="Times New Roman" w:cs="Times New Roman" w:hint="default"/>
        <w:color w:val="005FA0"/>
      </w:rPr>
    </w:lvl>
    <w:lvl w:ilvl="6">
      <w:start w:val="1"/>
      <w:numFmt w:val="bullet"/>
      <w:lvlText w:val="–"/>
      <w:lvlJc w:val="left"/>
      <w:pPr>
        <w:ind w:left="5040" w:hanging="360"/>
      </w:pPr>
      <w:rPr>
        <w:rFonts w:ascii="Times New Roman" w:hAnsi="Times New Roman" w:cs="Times New Roman" w:hint="default"/>
        <w:color w:val="005FA0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Times New Roman" w:hAnsi="Times New Roman" w:cs="Times New Roman" w:hint="default"/>
        <w:color w:val="005FA0"/>
      </w:rPr>
    </w:lvl>
    <w:lvl w:ilvl="8">
      <w:start w:val="1"/>
      <w:numFmt w:val="bullet"/>
      <w:lvlText w:val="–"/>
      <w:lvlJc w:val="left"/>
      <w:pPr>
        <w:ind w:left="6480" w:hanging="360"/>
      </w:pPr>
      <w:rPr>
        <w:rFonts w:ascii="Times New Roman" w:hAnsi="Times New Roman" w:cs="Times New Roman" w:hint="default"/>
        <w:color w:val="005FA0"/>
      </w:rPr>
    </w:lvl>
  </w:abstractNum>
  <w:abstractNum w:abstractNumId="5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F"/>
    <w:rsid w:val="00010E92"/>
    <w:rsid w:val="001F0DE7"/>
    <w:rsid w:val="002014D3"/>
    <w:rsid w:val="00227125"/>
    <w:rsid w:val="00262FD5"/>
    <w:rsid w:val="00271C19"/>
    <w:rsid w:val="002946B8"/>
    <w:rsid w:val="0032637D"/>
    <w:rsid w:val="00350F98"/>
    <w:rsid w:val="0038229F"/>
    <w:rsid w:val="003B676F"/>
    <w:rsid w:val="003C28FE"/>
    <w:rsid w:val="00483B87"/>
    <w:rsid w:val="0050262E"/>
    <w:rsid w:val="005B1ADB"/>
    <w:rsid w:val="005E4D4F"/>
    <w:rsid w:val="00703115"/>
    <w:rsid w:val="007378C8"/>
    <w:rsid w:val="00741EC0"/>
    <w:rsid w:val="00787B24"/>
    <w:rsid w:val="00803917"/>
    <w:rsid w:val="009930B3"/>
    <w:rsid w:val="009E1A4F"/>
    <w:rsid w:val="00A07737"/>
    <w:rsid w:val="00A156E4"/>
    <w:rsid w:val="00A6148D"/>
    <w:rsid w:val="00AA2BD8"/>
    <w:rsid w:val="00AB0992"/>
    <w:rsid w:val="00BF05FA"/>
    <w:rsid w:val="00C1611B"/>
    <w:rsid w:val="00CE1A70"/>
    <w:rsid w:val="00D53E86"/>
    <w:rsid w:val="00D736F8"/>
    <w:rsid w:val="00E520E6"/>
    <w:rsid w:val="00F17256"/>
    <w:rsid w:val="00FB69AE"/>
    <w:rsid w:val="00FC0E26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B2636D-FDB6-49E0-AE13-8D3F0C5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paragraph" w:styleId="berschrift2">
    <w:name w:val="heading 2"/>
    <w:basedOn w:val="Standard"/>
    <w:next w:val="Standard"/>
    <w:link w:val="berschrift2Zchn"/>
    <w:qFormat/>
    <w:rsid w:val="00AA2BD8"/>
    <w:pPr>
      <w:keepNext/>
      <w:spacing w:before="240" w:after="60"/>
      <w:jc w:val="left"/>
      <w:outlineLvl w:val="1"/>
    </w:pPr>
    <w:rPr>
      <w:b/>
      <w:i/>
      <w:sz w:val="22"/>
      <w:szCs w:val="20"/>
      <w:lang w:val="en-GB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berschrift2Zchn">
    <w:name w:val="Überschrift 2 Zchn"/>
    <w:link w:val="berschrift2"/>
    <w:rsid w:val="00AA2BD8"/>
    <w:rPr>
      <w:rFonts w:ascii="Arial" w:hAnsi="Arial"/>
      <w:b/>
      <w:i/>
      <w:sz w:val="22"/>
      <w:lang w:val="en-GB" w:eastAsia="en-US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styleId="Textkrper2">
    <w:name w:val="Body Text 2"/>
    <w:basedOn w:val="Standard"/>
    <w:link w:val="Textkrper2Zchn"/>
    <w:rsid w:val="00FC0E26"/>
    <w:rPr>
      <w:rFonts w:ascii="Times New Roman" w:hAnsi="Times New Roman"/>
      <w:szCs w:val="20"/>
      <w:lang w:val="en-GB" w:eastAsia="en-US"/>
    </w:rPr>
  </w:style>
  <w:style w:type="character" w:customStyle="1" w:styleId="Textkrper2Zchn">
    <w:name w:val="Textkörper 2 Zchn"/>
    <w:link w:val="Textkrper2"/>
    <w:rsid w:val="00FC0E26"/>
    <w:rPr>
      <w:lang w:val="en-GB" w:eastAsia="en-US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customStyle="1" w:styleId="Flietext">
    <w:name w:val="Fließtext"/>
    <w:basedOn w:val="Standard"/>
    <w:qFormat/>
    <w:rsid w:val="00787B24"/>
    <w:pPr>
      <w:spacing w:before="270" w:line="276" w:lineRule="auto"/>
      <w:jc w:val="left"/>
    </w:pPr>
    <w:rPr>
      <w:rFonts w:ascii="Times New Roman" w:eastAsia="MS Mincho" w:hAnsi="Times New Roman"/>
      <w:color w:val="000000"/>
      <w:sz w:val="21"/>
      <w:szCs w:val="21"/>
      <w:lang w:val="de-AT" w:eastAsia="ja-JP"/>
    </w:rPr>
  </w:style>
  <w:style w:type="paragraph" w:customStyle="1" w:styleId="Aufzhlung0">
    <w:name w:val="– Aufzählung"/>
    <w:basedOn w:val="Flietext"/>
    <w:next w:val="Flietext"/>
    <w:uiPriority w:val="3"/>
    <w:qFormat/>
    <w:rsid w:val="00AB0992"/>
    <w:pPr>
      <w:numPr>
        <w:numId w:val="6"/>
      </w:numPr>
      <w:tabs>
        <w:tab w:val="num" w:pos="720"/>
      </w:tabs>
      <w:spacing w:after="135"/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24CDC7-EC3D-45E8-BD7B-E0D0379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hiesl</cp:lastModifiedBy>
  <cp:revision>2</cp:revision>
  <dcterms:created xsi:type="dcterms:W3CDTF">2018-12-10T09:04:00Z</dcterms:created>
  <dcterms:modified xsi:type="dcterms:W3CDTF">2018-12-10T09:04:00Z</dcterms:modified>
</cp:coreProperties>
</file>